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EE" w:rsidRPr="00D17055" w:rsidRDefault="00B334DF" w:rsidP="00370AEE">
      <w:pPr>
        <w:pStyle w:val="Balk1"/>
        <w:keepNext/>
        <w:jc w:val="center"/>
        <w:rPr>
          <w:rFonts w:ascii="Times New Roman" w:hAnsi="Times New Roman"/>
          <w:b/>
          <w:bCs/>
          <w:sz w:val="24"/>
        </w:rPr>
      </w:pPr>
      <w:r w:rsidRPr="00D17055">
        <w:rPr>
          <w:rFonts w:ascii="Times New Roman" w:hAnsi="Times New Roman"/>
          <w:b/>
          <w:bCs/>
          <w:sz w:val="24"/>
        </w:rPr>
        <w:t>E</w:t>
      </w:r>
      <w:r w:rsidR="00754A76" w:rsidRPr="00D17055">
        <w:rPr>
          <w:rFonts w:ascii="Times New Roman" w:hAnsi="Times New Roman"/>
          <w:b/>
          <w:bCs/>
          <w:sz w:val="24"/>
        </w:rPr>
        <w:t>K</w:t>
      </w:r>
      <w:r w:rsidRPr="00D17055">
        <w:rPr>
          <w:rFonts w:ascii="Times New Roman" w:hAnsi="Times New Roman"/>
          <w:b/>
          <w:bCs/>
          <w:sz w:val="24"/>
        </w:rPr>
        <w:t xml:space="preserve"> II</w:t>
      </w:r>
      <w:r w:rsidR="0018348D" w:rsidRPr="00D17055">
        <w:rPr>
          <w:rFonts w:ascii="Times New Roman" w:hAnsi="Times New Roman"/>
          <w:b/>
          <w:bCs/>
          <w:sz w:val="24"/>
        </w:rPr>
        <w:t>I</w:t>
      </w:r>
    </w:p>
    <w:p w:rsidR="00370AEE" w:rsidRPr="00D17055" w:rsidRDefault="00370AEE" w:rsidP="00370AEE">
      <w:pPr>
        <w:rPr>
          <w:lang w:val="tr-TR"/>
        </w:rPr>
      </w:pPr>
    </w:p>
    <w:p w:rsidR="00370AEE" w:rsidRPr="00D17055" w:rsidRDefault="00370AEE" w:rsidP="00370AEE">
      <w:pPr>
        <w:jc w:val="center"/>
        <w:rPr>
          <w:b/>
          <w:bCs/>
          <w:lang w:val="tr-TR"/>
        </w:rPr>
      </w:pPr>
      <w:r w:rsidRPr="00D17055">
        <w:rPr>
          <w:b/>
          <w:bCs/>
          <w:lang w:val="tr-TR"/>
        </w:rPr>
        <w:t>(</w:t>
      </w:r>
      <w:r w:rsidR="00754A76" w:rsidRPr="00D17055">
        <w:rPr>
          <w:b/>
          <w:bCs/>
          <w:lang w:val="tr-TR"/>
        </w:rPr>
        <w:t>İşbu Anlaşma’nın 25’inci Maddesi’nde Belirtilen</w:t>
      </w:r>
      <w:r w:rsidRPr="00D17055">
        <w:rPr>
          <w:b/>
          <w:bCs/>
          <w:lang w:val="tr-TR"/>
        </w:rPr>
        <w:t>)</w:t>
      </w:r>
    </w:p>
    <w:p w:rsidR="00370AEE" w:rsidRPr="00D17055" w:rsidRDefault="00370AEE" w:rsidP="00370AEE">
      <w:pPr>
        <w:ind w:left="720"/>
        <w:jc w:val="center"/>
        <w:rPr>
          <w:b/>
          <w:bCs/>
          <w:lang w:val="tr-TR"/>
        </w:rPr>
      </w:pPr>
    </w:p>
    <w:p w:rsidR="004F7112" w:rsidRPr="00D17055" w:rsidRDefault="004F7112" w:rsidP="00370AEE">
      <w:pPr>
        <w:ind w:left="720"/>
        <w:jc w:val="center"/>
        <w:rPr>
          <w:b/>
          <w:bCs/>
          <w:lang w:val="tr-TR"/>
        </w:rPr>
      </w:pPr>
    </w:p>
    <w:p w:rsidR="00370AEE" w:rsidRPr="00D17055" w:rsidRDefault="008670BF" w:rsidP="00370AEE">
      <w:pPr>
        <w:jc w:val="center"/>
        <w:rPr>
          <w:b/>
          <w:bCs/>
          <w:lang w:val="tr-TR"/>
        </w:rPr>
      </w:pPr>
      <w:r w:rsidRPr="00D17055">
        <w:rPr>
          <w:b/>
          <w:bCs/>
          <w:lang w:val="tr-TR"/>
        </w:rPr>
        <w:t>List</w:t>
      </w:r>
      <w:r w:rsidR="00754A76" w:rsidRPr="00D17055">
        <w:rPr>
          <w:b/>
          <w:bCs/>
          <w:lang w:val="tr-TR"/>
        </w:rPr>
        <w:t>e</w:t>
      </w:r>
      <w:r w:rsidR="00B334DF" w:rsidRPr="00D17055">
        <w:rPr>
          <w:b/>
          <w:bCs/>
          <w:lang w:val="tr-TR"/>
        </w:rPr>
        <w:t xml:space="preserve"> </w:t>
      </w:r>
      <w:r w:rsidRPr="00D17055">
        <w:rPr>
          <w:b/>
          <w:bCs/>
          <w:lang w:val="tr-TR"/>
        </w:rPr>
        <w:t>I</w:t>
      </w:r>
    </w:p>
    <w:p w:rsidR="004F7112" w:rsidRPr="00D17055" w:rsidRDefault="004F7112" w:rsidP="00370AEE">
      <w:pPr>
        <w:jc w:val="center"/>
        <w:rPr>
          <w:b/>
          <w:bCs/>
          <w:lang w:val="tr-TR"/>
        </w:rPr>
      </w:pPr>
    </w:p>
    <w:p w:rsidR="004F7112" w:rsidRPr="00D17055" w:rsidRDefault="00406386" w:rsidP="004F7112">
      <w:pPr>
        <w:jc w:val="both"/>
        <w:rPr>
          <w:lang w:val="tr-TR"/>
        </w:rPr>
      </w:pPr>
      <w:r>
        <w:rPr>
          <w:lang w:val="tr-TR"/>
        </w:rPr>
        <w:t>İşbu Liste’de yer alan Türkiye Cumhuriyeti menşeli tarım ürünlerinin Moldova Cumhuriyeti’ne ithalatında aşağıda belirtilen tavizler uygulanacaktır.</w:t>
      </w:r>
    </w:p>
    <w:p w:rsidR="00370AEE" w:rsidRPr="00D17055" w:rsidRDefault="00370AEE" w:rsidP="00370AEE">
      <w:pPr>
        <w:jc w:val="center"/>
        <w:rPr>
          <w:rFonts w:cs="Times New Roman TUR"/>
          <w:sz w:val="26"/>
          <w:szCs w:val="26"/>
          <w:lang w:val="tr-TR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524"/>
        <w:gridCol w:w="1134"/>
        <w:gridCol w:w="1276"/>
        <w:gridCol w:w="1882"/>
      </w:tblGrid>
      <w:tr w:rsidR="0037051C" w:rsidRPr="00D17055" w:rsidTr="007234E7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7234E7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K</w:t>
            </w:r>
            <w:r w:rsidR="0037051C" w:rsidRPr="00D17055">
              <w:rPr>
                <w:b/>
                <w:bCs/>
                <w:sz w:val="24"/>
                <w:szCs w:val="24"/>
                <w:lang w:val="tr-TR"/>
              </w:rPr>
              <w:t>N</w:t>
            </w:r>
            <w:r w:rsidR="00DF1126" w:rsidRPr="00D17055">
              <w:rPr>
                <w:b/>
                <w:bCs/>
                <w:sz w:val="24"/>
                <w:szCs w:val="24"/>
                <w:vertAlign w:val="superscript"/>
                <w:lang w:val="tr-TR"/>
              </w:rPr>
              <w:t>(1)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7234E7" w:rsidP="004F7112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Ürün Tanımı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7234E7" w:rsidRDefault="007234E7" w:rsidP="00C327F1">
            <w:pPr>
              <w:pStyle w:val="GvdeMetni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7234E7">
              <w:rPr>
                <w:b/>
                <w:bCs/>
                <w:sz w:val="20"/>
                <w:szCs w:val="20"/>
                <w:lang w:val="tr-TR"/>
              </w:rPr>
              <w:t>Tarife Kontenjanı Miktarı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7234E7" w:rsidP="00C327F1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234E7">
              <w:rPr>
                <w:b/>
                <w:bCs/>
                <w:sz w:val="20"/>
                <w:szCs w:val="20"/>
                <w:lang w:val="tr-TR"/>
              </w:rPr>
              <w:t>Gümrük Vergisi İndirimi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7234E7" w:rsidP="007234E7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Dönemler</w:t>
            </w:r>
          </w:p>
        </w:tc>
      </w:tr>
      <w:tr w:rsidR="0037051C" w:rsidRPr="00D17055" w:rsidTr="00B05B4D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0302.11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FA2409" w:rsidP="00FA2409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Alabalıklar (Salmo trutta, Oncorhynchus mykiss, Oncorhynchus clarki, Oncorhynchus aguabonita, Oncorhynchus gilae,   Oncorhynchus  apache ve Oncorhynchus chrysogaster)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0302.35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FA2409" w:rsidP="00FA2409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Atlantik ve Pasifik mavi yüzgeçli orkinosu  (Thunnus thynnus, Thunnus orientalis)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0702.00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FA2409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Domates (taze veya soğutulmuş)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64" w:rsidRPr="00D17055" w:rsidRDefault="005E7864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5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>.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000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50683B" w:rsidP="0050683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</w:t>
            </w:r>
            <w:r w:rsidR="005E7864" w:rsidRPr="00D17055">
              <w:rPr>
                <w:rFonts w:cs="Times New Roman"/>
                <w:sz w:val="24"/>
                <w:szCs w:val="24"/>
                <w:lang w:val="tr-TR"/>
              </w:rPr>
              <w:t>1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/11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E7864" w:rsidRPr="00D17055">
              <w:rPr>
                <w:rFonts w:cs="Times New Roman"/>
                <w:sz w:val="24"/>
                <w:szCs w:val="24"/>
                <w:lang w:val="tr-TR"/>
              </w:rPr>
              <w:t>-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E7864" w:rsidRPr="00D17055">
              <w:rPr>
                <w:rFonts w:cs="Times New Roman"/>
                <w:sz w:val="24"/>
                <w:szCs w:val="24"/>
                <w:lang w:val="tr-TR"/>
              </w:rPr>
              <w:t>30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/04</w:t>
            </w: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0804.20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58743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İncir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B06EE4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0805.10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Portakal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B06EE4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0805.20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Mandarin (tanjerin ve satsuma dâhil); klemantin,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vilking ve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benzeri turunçgil melezleri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B06EE4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0805.40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D17055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Greyfurt (pomelolar dahil)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B06EE4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0805.50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Limon (Citrus limon, Citrus limonum) ve tatlı limonlar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(Citrus aurantifolia, Citrus latifolia)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B06EE4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0807.11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D17055" w:rsidP="0058743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Karpuzlar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546565" w:rsidRPr="00630E9E" w:rsidTr="00B824E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546565">
              <w:rPr>
                <w:rFonts w:cs="Times New Roman"/>
                <w:sz w:val="24"/>
                <w:szCs w:val="24"/>
                <w:lang w:val="tr-TR"/>
              </w:rPr>
              <w:t>0808.30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Armutlar</w:t>
            </w:r>
            <w:r w:rsidRPr="0054656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750 ton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54656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6565" w:rsidRPr="00546565" w:rsidRDefault="00546565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546565">
              <w:rPr>
                <w:rFonts w:cs="Times New Roman"/>
                <w:sz w:val="24"/>
                <w:szCs w:val="24"/>
                <w:lang w:val="tr-TR"/>
              </w:rPr>
              <w:t>01/10 - 30/06</w:t>
            </w:r>
          </w:p>
        </w:tc>
      </w:tr>
      <w:tr w:rsidR="00546565" w:rsidRPr="00630E9E" w:rsidTr="00B824E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546565">
              <w:rPr>
                <w:rFonts w:cs="Times New Roman"/>
                <w:sz w:val="24"/>
                <w:szCs w:val="24"/>
                <w:lang w:val="tr-TR"/>
              </w:rPr>
              <w:t>0808.40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Ayvalar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565" w:rsidRPr="00546565" w:rsidRDefault="00546565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565" w:rsidRPr="00546565" w:rsidRDefault="00546565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A1B7D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0809.10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A95487" w:rsidP="0058743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Kayısılar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64" w:rsidRPr="00D17055" w:rsidRDefault="00091FD2" w:rsidP="005E786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600</w:t>
            </w:r>
          </w:p>
          <w:p w:rsidR="005E7864" w:rsidRPr="00D17055" w:rsidRDefault="005E7864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5E7864" w:rsidP="0050683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31</w:t>
            </w:r>
            <w:r w:rsidR="0050683B" w:rsidRPr="00D17055">
              <w:rPr>
                <w:rFonts w:cs="Times New Roman"/>
                <w:sz w:val="24"/>
                <w:szCs w:val="24"/>
                <w:lang w:val="tr-TR"/>
              </w:rPr>
              <w:t>/07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-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31</w:t>
            </w:r>
            <w:r w:rsidR="0050683B" w:rsidRPr="00D17055">
              <w:rPr>
                <w:rFonts w:cs="Times New Roman"/>
                <w:sz w:val="24"/>
                <w:szCs w:val="24"/>
                <w:lang w:val="tr-TR"/>
              </w:rPr>
              <w:t>/05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DA1B7D" w:rsidRPr="00630E9E" w:rsidTr="009D3CA0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</w:p>
          <w:p w:rsidR="00DA1B7D" w:rsidRPr="00DA1B7D" w:rsidRDefault="00DA1B7D" w:rsidP="00CA265C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0809.21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DA1B7D">
            <w:pPr>
              <w:rPr>
                <w:lang w:val="tr-TR"/>
              </w:rPr>
            </w:pPr>
            <w:r>
              <w:rPr>
                <w:lang w:val="tr-TR"/>
              </w:rPr>
              <w:t>Vişneler</w:t>
            </w:r>
            <w:r w:rsidRPr="00DA1B7D">
              <w:rPr>
                <w:lang w:val="tr-TR"/>
              </w:rPr>
              <w:t xml:space="preserve"> (</w:t>
            </w:r>
            <w:r w:rsidRPr="007D0AD9">
              <w:rPr>
                <w:lang w:val="tr-TR"/>
              </w:rPr>
              <w:t>Prunus cerasus</w:t>
            </w:r>
            <w:r w:rsidRPr="00DA1B7D">
              <w:rPr>
                <w:lang w:val="tr-T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750</w:t>
            </w:r>
          </w:p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ton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01/08 - 20/05</w:t>
            </w:r>
          </w:p>
        </w:tc>
      </w:tr>
      <w:tr w:rsidR="00DA1B7D" w:rsidTr="009D3CA0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A1B7D">
              <w:rPr>
                <w:rFonts w:cs="Times New Roman"/>
                <w:sz w:val="24"/>
                <w:szCs w:val="24"/>
                <w:lang w:val="tr-TR"/>
              </w:rPr>
              <w:t>0809.29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DA1B7D">
            <w:pPr>
              <w:rPr>
                <w:lang w:val="tr-TR"/>
              </w:rPr>
            </w:pPr>
            <w:r>
              <w:rPr>
                <w:lang w:val="tr-TR"/>
              </w:rPr>
              <w:t>Diğerleri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B7D" w:rsidRPr="00DA1B7D" w:rsidRDefault="00DA1B7D" w:rsidP="00CA265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0809.30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D17055" w:rsidP="00D17055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 xml:space="preserve">Şeftali (nektarin 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>dâhil</w:t>
            </w:r>
            <w:r>
              <w:rPr>
                <w:rFonts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CB" w:rsidRPr="00D17055" w:rsidRDefault="00091FD2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300</w:t>
            </w:r>
          </w:p>
          <w:p w:rsidR="005732CB" w:rsidRPr="00D17055" w:rsidRDefault="005732CB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50683B" w:rsidP="0050683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1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/09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-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10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/06</w:t>
            </w: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0809.40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D17055" w:rsidP="00D17055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Erik ve çakaleriği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2CB" w:rsidRPr="00D17055" w:rsidRDefault="005732CB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</w:t>
            </w:r>
          </w:p>
          <w:p w:rsidR="005732CB" w:rsidRPr="00D17055" w:rsidRDefault="005732CB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50683B" w:rsidP="0050683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1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/09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-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10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/06</w:t>
            </w: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0810.10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D17055" w:rsidP="0058743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Çilek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2CB" w:rsidRPr="00D17055" w:rsidRDefault="005732CB" w:rsidP="005732C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300</w:t>
            </w:r>
          </w:p>
          <w:p w:rsidR="005732CB" w:rsidRPr="00D17055" w:rsidRDefault="005732CB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50683B" w:rsidP="0050683B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1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/08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-</w:t>
            </w:r>
            <w:r w:rsidR="00D43115" w:rsidRPr="00D17055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="005732CB" w:rsidRPr="00D17055">
              <w:rPr>
                <w:rFonts w:cs="Times New Roman"/>
                <w:sz w:val="24"/>
                <w:szCs w:val="24"/>
                <w:lang w:val="tr-TR"/>
              </w:rPr>
              <w:t>30</w:t>
            </w:r>
            <w:r w:rsidRPr="00D17055">
              <w:rPr>
                <w:rFonts w:cs="Times New Roman"/>
                <w:sz w:val="24"/>
                <w:szCs w:val="24"/>
                <w:lang w:val="tr-TR"/>
              </w:rPr>
              <w:t>/04</w:t>
            </w: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0810.90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Diğerleri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4B18E1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0813.10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58743C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Kayısı (zerdali dahil)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4B18E1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lastRenderedPageBreak/>
              <w:t>1509.10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Saf zeytinyağı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4B18E1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1509.90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Diğerleri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4B18E1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9641A4" w:rsidRPr="00D17055" w:rsidTr="009641A4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1516.20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3F5041">
              <w:rPr>
                <w:rFonts w:cs="Times New Roman"/>
                <w:sz w:val="24"/>
                <w:szCs w:val="24"/>
                <w:lang w:val="tr-TR"/>
              </w:rPr>
              <w:t>Bitkisel katı ve sıvı yağlar ve bunların fraksiyonları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Default="009641A4" w:rsidP="009641A4">
            <w:pPr>
              <w:jc w:val="center"/>
            </w:pPr>
            <w:r w:rsidRPr="004B18E1"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A4" w:rsidRPr="00D17055" w:rsidRDefault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A4" w:rsidRPr="00D17055" w:rsidRDefault="009641A4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1704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F5041" w:rsidP="00B55B4D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3F5041">
              <w:rPr>
                <w:rFonts w:cs="Times New Roman"/>
                <w:sz w:val="24"/>
                <w:szCs w:val="24"/>
                <w:lang w:val="tr-TR"/>
              </w:rPr>
              <w:t xml:space="preserve">Kakao içermeyen şeker mamulleri (beyaz çikolata </w:t>
            </w:r>
            <w:r w:rsidR="009641A4" w:rsidRPr="003F5041">
              <w:rPr>
                <w:rFonts w:cs="Times New Roman"/>
                <w:sz w:val="24"/>
                <w:szCs w:val="24"/>
                <w:lang w:val="tr-TR"/>
              </w:rPr>
              <w:t>dâhil</w:t>
            </w:r>
            <w:r w:rsidRPr="003F5041">
              <w:rPr>
                <w:rFonts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250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1704.10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F5041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3F5041">
              <w:rPr>
                <w:rFonts w:cs="Times New Roman"/>
                <w:sz w:val="24"/>
                <w:szCs w:val="24"/>
                <w:lang w:val="tr-TR"/>
              </w:rPr>
              <w:t>Ciklet (şekerle kaplanmış olsun olmasın)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1806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Çikolata ve kakao içeren diğer gıda müstahzarları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250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1905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918" w:rsidRPr="00016918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Ekmek, pasta, kek, bisküvi ve diğer ekmekçilik mamulleri (kakao</w:t>
            </w:r>
          </w:p>
          <w:p w:rsidR="0037051C" w:rsidRPr="00D17055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içersin içermesin); hosti, eczacılıkta kullanılan boş ilaç kapsülleri,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mühür güllacı, p</w:t>
            </w:r>
            <w:r>
              <w:rPr>
                <w:rFonts w:cs="Times New Roman"/>
                <w:sz w:val="24"/>
                <w:szCs w:val="24"/>
                <w:lang w:val="tr-TR"/>
              </w:rPr>
              <w:t>irinç kağıdı ve benzeri ürünler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250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2005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9641A4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Diğer sebzeler (sirke veya asetik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 xml:space="preserve"> asitten başka usullerle hazırlanmış veya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konserve edilmiş,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dondurulmamış) (20.06 pozisyonundaki ürünler hariç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500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2005.70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Zeytinler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2007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918" w:rsidRPr="00016918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Reçeller, jöleler, marmelatlar, meyva veya sert kabuklu meyva</w:t>
            </w:r>
          </w:p>
          <w:p w:rsidR="0037051C" w:rsidRPr="00D17055" w:rsidRDefault="00016918" w:rsidP="009641A4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püresi, meyva veya sert kabuklu meyv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>a pastları (pişirilerek hazır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 xml:space="preserve">lanmış) (ilave şeker veya diğer tatlandırıcı maddeleri içersin </w:t>
            </w:r>
            <w:r>
              <w:rPr>
                <w:rFonts w:cs="Times New Roman"/>
                <w:sz w:val="24"/>
                <w:szCs w:val="24"/>
                <w:lang w:val="tr-TR"/>
              </w:rPr>
              <w:t>içermesin)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250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bCs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bCs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bCs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cantSplit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2008.19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 xml:space="preserve">Diğerleri (karışımlar </w:t>
            </w:r>
            <w:r w:rsidR="009641A4" w:rsidRPr="00016918">
              <w:rPr>
                <w:rFonts w:cs="Times New Roman"/>
                <w:sz w:val="24"/>
                <w:szCs w:val="24"/>
                <w:lang w:val="tr-TR"/>
              </w:rPr>
              <w:t>dâhil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cantSplit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2009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 xml:space="preserve">Meyva suları (üzüm şırası </w:t>
            </w:r>
            <w:r w:rsidR="009641A4" w:rsidRPr="00016918">
              <w:rPr>
                <w:rFonts w:cs="Times New Roman"/>
                <w:sz w:val="24"/>
                <w:szCs w:val="24"/>
                <w:lang w:val="tr-TR"/>
              </w:rPr>
              <w:t>dâhil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) ve sebze suları (fermente edilmemiş ve alkol katılmamış), ilave şeker veya diğer tatlandırıcı maddeler katılmış olsun olmasın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500 ton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2C2FA4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100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cantSplit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2102.10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Canlı mayalar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jc w:val="center"/>
              <w:rPr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2103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Soslar ve müstahzarları; çeşni ve lezzet verici karışımlar; hardal unu ve kaba unu ve hazır hardal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500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2105.00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Dondurma ve yenilen diğer b</w:t>
            </w:r>
            <w:r>
              <w:rPr>
                <w:rFonts w:cs="Times New Roman"/>
                <w:sz w:val="24"/>
                <w:szCs w:val="24"/>
                <w:lang w:val="tr-TR"/>
              </w:rPr>
              <w:t>uzlar (kakao içersin içermesin)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 xml:space="preserve">500 ton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2106.90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A749A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cantSplit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2202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 xml:space="preserve">Sular (mineral sular ve gazlı sular </w:t>
            </w:r>
            <w:r w:rsidR="009641A4" w:rsidRPr="00016918">
              <w:rPr>
                <w:rFonts w:cs="Times New Roman"/>
                <w:sz w:val="24"/>
                <w:szCs w:val="24"/>
                <w:lang w:val="tr-TR"/>
              </w:rPr>
              <w:t>dâhil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) (ilave şeker veya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diğer tatlandırıcı maddeler katılmış veya aromalandırılmış)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ve alkolsüz diğer içecekler (20.09 pozisyonundaki meyve ve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sebze suları hariç)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781B86" w:rsidP="009641A4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  <w:r w:rsidR="009641A4">
              <w:rPr>
                <w:rFonts w:cs="Times New Roman"/>
                <w:sz w:val="24"/>
                <w:szCs w:val="24"/>
                <w:lang w:val="tr-TR"/>
              </w:rPr>
              <w:t>.</w:t>
            </w:r>
            <w:r w:rsidR="0037051C" w:rsidRPr="00D17055">
              <w:rPr>
                <w:rFonts w:cs="Times New Roman"/>
                <w:sz w:val="24"/>
                <w:szCs w:val="24"/>
                <w:lang w:val="tr-TR"/>
              </w:rPr>
              <w:t>000 litre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</w:p>
        </w:tc>
      </w:tr>
      <w:tr w:rsidR="0037051C" w:rsidRPr="00D17055" w:rsidTr="00630E9E">
        <w:trPr>
          <w:cantSplit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327F1">
            <w:pPr>
              <w:pStyle w:val="GvdeMetni"/>
              <w:jc w:val="left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lastRenderedPageBreak/>
              <w:t>2401.10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Tütün (sapları koparılmamış, damarı çıkarılmamış)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9641A4" w:rsidP="00CA749A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AA2D01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630E9E">
            <w:pPr>
              <w:jc w:val="center"/>
              <w:rPr>
                <w:lang w:val="tr-TR"/>
              </w:rPr>
            </w:pPr>
          </w:p>
        </w:tc>
      </w:tr>
    </w:tbl>
    <w:p w:rsidR="00370AEE" w:rsidRPr="00D17055" w:rsidRDefault="00370AEE" w:rsidP="00370AEE">
      <w:pPr>
        <w:jc w:val="center"/>
        <w:rPr>
          <w:rFonts w:cs="Times New Roman TUR"/>
          <w:b/>
          <w:bCs/>
          <w:lang w:val="tr-TR"/>
        </w:rPr>
      </w:pPr>
    </w:p>
    <w:p w:rsidR="00BE0319" w:rsidRPr="00D17055" w:rsidRDefault="007D0AD9" w:rsidP="00DF1126">
      <w:pPr>
        <w:pStyle w:val="ListeParagraf"/>
        <w:numPr>
          <w:ilvl w:val="0"/>
          <w:numId w:val="5"/>
        </w:numPr>
        <w:tabs>
          <w:tab w:val="left" w:pos="426"/>
        </w:tabs>
        <w:ind w:left="0" w:firstLine="0"/>
        <w:rPr>
          <w:rFonts w:cs="Times New Roman TUR"/>
          <w:b/>
          <w:bCs/>
          <w:lang w:val="tr-TR"/>
        </w:rPr>
      </w:pPr>
      <w:r>
        <w:rPr>
          <w:bCs/>
          <w:lang w:val="en-GB"/>
        </w:rPr>
        <w:t xml:space="preserve">KN Kodu, Armonize Sistem 2012 </w:t>
      </w:r>
      <w:r>
        <w:rPr>
          <w:bCs/>
          <w:lang w:val="tr-TR"/>
        </w:rPr>
        <w:t>versiyonuna dayanmaktadır</w:t>
      </w:r>
      <w:r w:rsidRPr="00215A9D">
        <w:rPr>
          <w:bCs/>
          <w:lang w:val="tr-TR"/>
        </w:rPr>
        <w:t>.</w:t>
      </w:r>
    </w:p>
    <w:p w:rsidR="00DF1126" w:rsidRPr="00D17055" w:rsidRDefault="00DF1126" w:rsidP="00B334DF">
      <w:pPr>
        <w:jc w:val="center"/>
        <w:rPr>
          <w:rFonts w:cs="Times New Roman TUR"/>
          <w:b/>
          <w:bCs/>
          <w:lang w:val="tr-TR"/>
        </w:rPr>
      </w:pPr>
    </w:p>
    <w:p w:rsidR="000B1C9A" w:rsidRPr="00D17055" w:rsidRDefault="000B1C9A" w:rsidP="00B334DF">
      <w:pPr>
        <w:jc w:val="center"/>
        <w:rPr>
          <w:rFonts w:cs="Times New Roman TUR"/>
          <w:b/>
          <w:bCs/>
          <w:lang w:val="tr-TR"/>
        </w:rPr>
        <w:sectPr w:rsidR="000B1C9A" w:rsidRPr="00D17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4DF" w:rsidRPr="00D17055" w:rsidRDefault="008670BF" w:rsidP="00B334DF">
      <w:pPr>
        <w:jc w:val="center"/>
        <w:rPr>
          <w:rFonts w:cs="Times New Roman TUR"/>
          <w:b/>
          <w:bCs/>
          <w:lang w:val="tr-TR"/>
        </w:rPr>
      </w:pPr>
      <w:r w:rsidRPr="00D17055">
        <w:rPr>
          <w:rFonts w:cs="Times New Roman TUR"/>
          <w:b/>
          <w:bCs/>
          <w:lang w:val="tr-TR"/>
        </w:rPr>
        <w:lastRenderedPageBreak/>
        <w:t>List</w:t>
      </w:r>
      <w:r w:rsidR="00754A76" w:rsidRPr="00D17055">
        <w:rPr>
          <w:rFonts w:cs="Times New Roman TUR"/>
          <w:b/>
          <w:bCs/>
          <w:lang w:val="tr-TR"/>
        </w:rPr>
        <w:t>e</w:t>
      </w:r>
      <w:r w:rsidRPr="00D17055">
        <w:rPr>
          <w:rFonts w:cs="Times New Roman TUR"/>
          <w:b/>
          <w:bCs/>
          <w:lang w:val="tr-TR"/>
        </w:rPr>
        <w:t xml:space="preserve"> II</w:t>
      </w:r>
    </w:p>
    <w:p w:rsidR="00370AEE" w:rsidRPr="00D17055" w:rsidRDefault="00370AEE" w:rsidP="00370AEE">
      <w:pPr>
        <w:jc w:val="center"/>
        <w:rPr>
          <w:rFonts w:cs="Times New Roman TUR"/>
          <w:b/>
          <w:bCs/>
          <w:lang w:val="tr-TR"/>
        </w:rPr>
      </w:pPr>
    </w:p>
    <w:p w:rsidR="00406386" w:rsidRPr="00D17055" w:rsidRDefault="00406386" w:rsidP="00406386">
      <w:pPr>
        <w:jc w:val="both"/>
        <w:rPr>
          <w:lang w:val="tr-TR"/>
        </w:rPr>
      </w:pPr>
      <w:r>
        <w:rPr>
          <w:lang w:val="tr-TR"/>
        </w:rPr>
        <w:t>İşbu Liste’de yer alan Moldova Cumhuriyeti menşeli tarım ürünlerinin Türkiye Cumhuriyeti’ne ithalatında aşağıda belirtilen tavizler uygulanacaktır.</w:t>
      </w:r>
    </w:p>
    <w:p w:rsidR="00370AEE" w:rsidRPr="00D17055" w:rsidRDefault="00370AEE" w:rsidP="00370AEE">
      <w:pPr>
        <w:jc w:val="center"/>
        <w:rPr>
          <w:rFonts w:cs="Times New Roman TUR"/>
          <w:lang w:val="tr-TR"/>
        </w:rPr>
      </w:pPr>
    </w:p>
    <w:tbl>
      <w:tblPr>
        <w:tblW w:w="9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528"/>
        <w:gridCol w:w="1134"/>
        <w:gridCol w:w="1276"/>
        <w:gridCol w:w="1874"/>
      </w:tblGrid>
      <w:tr w:rsidR="007234E7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4E7" w:rsidRPr="00D17055" w:rsidRDefault="007234E7" w:rsidP="007234E7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K</w:t>
            </w:r>
            <w:r w:rsidRPr="00D17055">
              <w:rPr>
                <w:b/>
                <w:bCs/>
                <w:sz w:val="24"/>
                <w:szCs w:val="24"/>
                <w:lang w:val="tr-TR"/>
              </w:rPr>
              <w:t>N</w:t>
            </w:r>
            <w:r w:rsidRPr="00D17055">
              <w:rPr>
                <w:b/>
                <w:bCs/>
                <w:sz w:val="24"/>
                <w:szCs w:val="24"/>
                <w:vertAlign w:val="superscript"/>
                <w:lang w:val="tr-TR"/>
              </w:rPr>
              <w:t>(</w:t>
            </w:r>
            <w:r>
              <w:rPr>
                <w:b/>
                <w:bCs/>
                <w:sz w:val="24"/>
                <w:szCs w:val="24"/>
                <w:vertAlign w:val="superscript"/>
                <w:lang w:val="tr-TR"/>
              </w:rPr>
              <w:t>2</w:t>
            </w:r>
            <w:r w:rsidRPr="00D17055">
              <w:rPr>
                <w:b/>
                <w:bCs/>
                <w:sz w:val="24"/>
                <w:szCs w:val="24"/>
                <w:vertAlign w:val="superscript"/>
                <w:lang w:val="tr-TR"/>
              </w:rPr>
              <w:t>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4E7" w:rsidRPr="00D17055" w:rsidRDefault="007234E7" w:rsidP="001A4EE6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Ürün Tanımı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4E7" w:rsidRPr="007234E7" w:rsidRDefault="007234E7" w:rsidP="001A4EE6">
            <w:pPr>
              <w:pStyle w:val="GvdeMetni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7234E7">
              <w:rPr>
                <w:b/>
                <w:bCs/>
                <w:sz w:val="20"/>
                <w:szCs w:val="20"/>
                <w:lang w:val="tr-TR"/>
              </w:rPr>
              <w:t>Tarife Kontenjanı Miktarı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4E7" w:rsidRPr="00D17055" w:rsidRDefault="007234E7" w:rsidP="001A4EE6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7234E7">
              <w:rPr>
                <w:b/>
                <w:bCs/>
                <w:sz w:val="20"/>
                <w:szCs w:val="20"/>
                <w:lang w:val="tr-TR"/>
              </w:rPr>
              <w:t>Gümrük Vergisi İndirimi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E7" w:rsidRPr="00D17055" w:rsidRDefault="007234E7" w:rsidP="001A4EE6">
            <w:pPr>
              <w:pStyle w:val="GvdeMetni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Dönemler</w:t>
            </w: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0203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>Domuz eti (taz</w:t>
            </w:r>
            <w:r>
              <w:rPr>
                <w:lang w:val="tr-TR"/>
              </w:rPr>
              <w:t>e, soğutulmuş veya dondurulmuş)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97C7E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0403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9641A4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Yayıkal</w:t>
            </w:r>
            <w:r w:rsidRPr="007234E7">
              <w:rPr>
                <w:lang w:val="tr-TR"/>
              </w:rPr>
              <w:t>tı, pıhtılaştırılmış süt ve krema, yoğurt, kefir ve diğer</w:t>
            </w:r>
            <w:r w:rsidR="009641A4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fermente edil</w:t>
            </w:r>
            <w:r w:rsidRPr="007234E7">
              <w:rPr>
                <w:lang w:val="tr-TR"/>
              </w:rPr>
              <w:t>miş veya asit</w:t>
            </w:r>
            <w:r>
              <w:rPr>
                <w:lang w:val="tr-TR"/>
              </w:rPr>
              <w:t>liği artırıl</w:t>
            </w:r>
            <w:r w:rsidRPr="007234E7">
              <w:rPr>
                <w:lang w:val="tr-TR"/>
              </w:rPr>
              <w:t>mış süt ve krema (konsantre</w:t>
            </w:r>
            <w:r>
              <w:rPr>
                <w:lang w:val="tr-TR"/>
              </w:rPr>
              <w:t xml:space="preserve"> edilmiş veya il</w:t>
            </w:r>
            <w:r w:rsidRPr="007234E7">
              <w:rPr>
                <w:lang w:val="tr-TR"/>
              </w:rPr>
              <w:t>ave şeker veya diğer tatlandırıcı madde</w:t>
            </w:r>
            <w:r>
              <w:rPr>
                <w:lang w:val="tr-TR"/>
              </w:rPr>
              <w:t>l</w:t>
            </w:r>
            <w:r w:rsidRPr="007234E7">
              <w:rPr>
                <w:lang w:val="tr-TR"/>
              </w:rPr>
              <w:t xml:space="preserve">er </w:t>
            </w:r>
            <w:r>
              <w:rPr>
                <w:lang w:val="tr-TR"/>
              </w:rPr>
              <w:t>katılmış ol</w:t>
            </w:r>
            <w:r w:rsidRPr="007234E7">
              <w:rPr>
                <w:lang w:val="tr-TR"/>
              </w:rPr>
              <w:t xml:space="preserve">sun olmasın veya aroma veya ilave meyva, sert </w:t>
            </w:r>
            <w:r>
              <w:rPr>
                <w:lang w:val="tr-TR"/>
              </w:rPr>
              <w:t>kabukl</w:t>
            </w:r>
            <w:r w:rsidRPr="007234E7">
              <w:rPr>
                <w:lang w:val="tr-TR"/>
              </w:rPr>
              <w:t>u meyv</w:t>
            </w:r>
            <w:r>
              <w:rPr>
                <w:lang w:val="tr-TR"/>
              </w:rPr>
              <w:t>a veya kakao içersin içermesin)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97C7E">
        <w:trPr>
          <w:jc w:val="center"/>
        </w:trPr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0405</w:t>
            </w:r>
          </w:p>
        </w:tc>
        <w:tc>
          <w:tcPr>
            <w:tcW w:w="3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51C" w:rsidRPr="00D17055" w:rsidRDefault="007234E7" w:rsidP="007234E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Sütten elde edil</w:t>
            </w:r>
            <w:r w:rsidRPr="007234E7">
              <w:rPr>
                <w:lang w:val="tr-TR"/>
              </w:rPr>
              <w:t>en ter</w:t>
            </w:r>
            <w:r>
              <w:rPr>
                <w:lang w:val="tr-TR"/>
              </w:rPr>
              <w:t>eyağı ve diğer katı ve sıvı yağlar; sürülerek yenilen süt ürünleri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97C7E">
        <w:trPr>
          <w:jc w:val="center"/>
        </w:trPr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</w:p>
        </w:tc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BE0319">
            <w:pPr>
              <w:jc w:val="both"/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051C" w:rsidRPr="00D17055" w:rsidRDefault="00CD7638" w:rsidP="00B97C7E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 xml:space="preserve">100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1C" w:rsidRPr="00D17055" w:rsidRDefault="009641A4" w:rsidP="00B97C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DİR</w:t>
            </w:r>
            <w:r w:rsidR="00B97C7E" w:rsidRPr="00D17055">
              <w:rPr>
                <w:vertAlign w:val="superscript"/>
                <w:lang w:val="tr-TR"/>
              </w:rPr>
              <w:t>(3)</w:t>
            </w:r>
          </w:p>
        </w:tc>
      </w:tr>
      <w:tr w:rsidR="0037051C" w:rsidRPr="00D17055" w:rsidTr="00B97C7E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0406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>Pey</w:t>
            </w:r>
            <w:r>
              <w:rPr>
                <w:lang w:val="tr-TR"/>
              </w:rPr>
              <w:t>nir ve pıhtılaştırılmış ürünler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300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0407</w:t>
            </w:r>
          </w:p>
          <w:p w:rsidR="0037051C" w:rsidRPr="00D17055" w:rsidRDefault="0037051C" w:rsidP="007234E7">
            <w:pPr>
              <w:rPr>
                <w:lang w:val="tr-TR"/>
              </w:rPr>
            </w:pPr>
            <w:r w:rsidRPr="00D17055">
              <w:rPr>
                <w:lang w:val="tr-TR"/>
              </w:rPr>
              <w:t>(0407.21, 0407.29, 0407.90</w:t>
            </w:r>
            <w:r w:rsidR="007234E7">
              <w:rPr>
                <w:lang w:val="tr-TR"/>
              </w:rPr>
              <w:t xml:space="preserve"> Hariç</w:t>
            </w:r>
            <w:r w:rsidRPr="00D17055">
              <w:rPr>
                <w:lang w:val="tr-TR"/>
              </w:rPr>
              <w:t>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7234E7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>Kuş ve kümes hayvanlarının yumurtaları kabuklu,</w:t>
            </w:r>
            <w:r>
              <w:rPr>
                <w:lang w:val="tr-TR"/>
              </w:rPr>
              <w:t xml:space="preserve"> </w:t>
            </w:r>
            <w:r w:rsidRPr="007234E7">
              <w:rPr>
                <w:lang w:val="tr-TR"/>
              </w:rPr>
              <w:t>taze,</w:t>
            </w:r>
            <w:r>
              <w:rPr>
                <w:lang w:val="tr-TR"/>
              </w:rPr>
              <w:t xml:space="preserve"> </w:t>
            </w:r>
            <w:r w:rsidRPr="007234E7">
              <w:rPr>
                <w:lang w:val="tr-TR"/>
              </w:rPr>
              <w:t>dayanıklı</w:t>
            </w:r>
            <w:r>
              <w:rPr>
                <w:lang w:val="tr-TR"/>
              </w:rPr>
              <w:t xml:space="preserve"> </w:t>
            </w:r>
            <w:r w:rsidRPr="007234E7">
              <w:rPr>
                <w:lang w:val="tr-TR"/>
              </w:rPr>
              <w:t>h</w:t>
            </w:r>
            <w:r>
              <w:rPr>
                <w:lang w:val="tr-TR"/>
              </w:rPr>
              <w:t>ale getirilmiş veya pişirilmiş)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250</w:t>
            </w:r>
            <w:r w:rsidR="009641A4">
              <w:rPr>
                <w:lang w:val="tr-TR"/>
              </w:rPr>
              <w:t>.000 adet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0802.31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Kabuklu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210942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8</w:t>
            </w:r>
            <w:r w:rsidR="0037051C" w:rsidRPr="00D17055">
              <w:rPr>
                <w:lang w:val="tr-TR"/>
              </w:rPr>
              <w:t>00 ton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210942" w:rsidP="00C46B95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</w:t>
            </w:r>
            <w:r w:rsidR="0037051C" w:rsidRPr="00D17055">
              <w:rPr>
                <w:lang w:val="tr-TR"/>
              </w:rPr>
              <w:t>0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A07CFD" w:rsidP="00A07CFD">
            <w:pPr>
              <w:rPr>
                <w:lang w:val="tr-TR"/>
              </w:rPr>
            </w:pPr>
            <w:r w:rsidRPr="00D17055">
              <w:rPr>
                <w:lang w:val="tr-TR"/>
              </w:rPr>
              <w:t>0802.32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Kabuksuz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E52340">
            <w:pPr>
              <w:jc w:val="center"/>
              <w:rPr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C46B95">
            <w:pPr>
              <w:jc w:val="center"/>
              <w:rPr>
                <w:lang w:val="tr-TR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A07CFD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0802.90.85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Diğerleri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0809.40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7234E7" w:rsidP="0058743C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>Erik ve çakal eriği: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9641A4">
            <w:pPr>
              <w:pStyle w:val="GvdeMetni"/>
              <w:jc w:val="center"/>
              <w:rPr>
                <w:rFonts w:cs="Times New Roman"/>
                <w:b/>
                <w:bCs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bCs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bCs/>
                <w:sz w:val="24"/>
                <w:szCs w:val="24"/>
                <w:lang w:val="tr-TR"/>
              </w:rPr>
              <w:t>50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pStyle w:val="GvdeMetni"/>
              <w:jc w:val="center"/>
              <w:rPr>
                <w:rFonts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37051C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0813.20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7234E7" w:rsidP="0058743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200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1C" w:rsidRPr="00D17055" w:rsidRDefault="0037051C">
            <w:pPr>
              <w:jc w:val="center"/>
              <w:rPr>
                <w:lang w:val="tr-TR"/>
              </w:rPr>
            </w:pPr>
          </w:p>
        </w:tc>
      </w:tr>
      <w:tr w:rsidR="00B05B4D" w:rsidRPr="00D17055" w:rsidTr="00006DE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B4D" w:rsidRPr="00D17055" w:rsidRDefault="00B05B4D" w:rsidP="000B1C9A">
            <w:pPr>
              <w:rPr>
                <w:lang w:val="tr-TR"/>
              </w:rPr>
            </w:pPr>
            <w:r w:rsidRPr="00D17055">
              <w:rPr>
                <w:lang w:val="tr-TR"/>
              </w:rPr>
              <w:t>1003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B4D" w:rsidRPr="00D17055" w:rsidRDefault="007234E7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Arpa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B4D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</w:t>
            </w:r>
            <w:r w:rsidR="009641A4">
              <w:rPr>
                <w:lang w:val="tr-TR"/>
              </w:rPr>
              <w:t>.</w:t>
            </w:r>
            <w:r w:rsidR="00B05B4D" w:rsidRPr="00D17055">
              <w:rPr>
                <w:lang w:val="tr-TR"/>
              </w:rPr>
              <w:t>000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B4D" w:rsidRPr="00D17055" w:rsidRDefault="00B05B4D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B4D" w:rsidRPr="00D17055" w:rsidRDefault="00B05B4D" w:rsidP="0044675A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01/01 - 31/05</w:t>
            </w:r>
          </w:p>
        </w:tc>
      </w:tr>
      <w:tr w:rsidR="0037051C" w:rsidRPr="00D17055" w:rsidTr="00006DED">
        <w:trPr>
          <w:jc w:val="center"/>
        </w:trPr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51C" w:rsidRPr="00D17055" w:rsidRDefault="0037051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1005.90</w:t>
            </w:r>
          </w:p>
        </w:tc>
        <w:tc>
          <w:tcPr>
            <w:tcW w:w="3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51C" w:rsidRPr="00D17055" w:rsidRDefault="007234E7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Diğerleri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8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000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37051C" w:rsidP="0044675A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01/01 - 31/05</w:t>
            </w:r>
          </w:p>
        </w:tc>
      </w:tr>
      <w:tr w:rsidR="0037051C" w:rsidRPr="00D17055" w:rsidTr="00B97C7E">
        <w:trPr>
          <w:jc w:val="center"/>
        </w:trPr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C327F1">
            <w:pPr>
              <w:rPr>
                <w:lang w:val="tr-TR"/>
              </w:rPr>
            </w:pPr>
          </w:p>
        </w:tc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51C" w:rsidRPr="00D17055" w:rsidRDefault="0037051C" w:rsidP="00BE0319">
            <w:pPr>
              <w:jc w:val="both"/>
              <w:rPr>
                <w:lang w:val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37051C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000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051C" w:rsidRPr="00D17055" w:rsidRDefault="00CD7638" w:rsidP="005813FD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 xml:space="preserve">100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1C" w:rsidRPr="00D17055" w:rsidRDefault="00A2609B" w:rsidP="00A2609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DİR</w:t>
            </w:r>
            <w:r w:rsidR="005813FD" w:rsidRPr="00D17055">
              <w:rPr>
                <w:vertAlign w:val="superscript"/>
                <w:lang w:val="tr-TR"/>
              </w:rPr>
              <w:t>(3)</w:t>
            </w:r>
          </w:p>
        </w:tc>
      </w:tr>
      <w:tr w:rsidR="00E6669C" w:rsidRPr="00D17055" w:rsidTr="00B97C7E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69C" w:rsidRPr="00D17055" w:rsidRDefault="00E6669C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1201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69C" w:rsidRPr="00D17055" w:rsidRDefault="007234E7" w:rsidP="00AE3416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>Soya fas</w:t>
            </w:r>
            <w:r>
              <w:rPr>
                <w:lang w:val="tr-TR"/>
              </w:rPr>
              <w:t>ulyesi (kırılmış olsun olmasın)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69C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</w:t>
            </w:r>
            <w:r w:rsidR="009641A4">
              <w:rPr>
                <w:lang w:val="tr-TR"/>
              </w:rPr>
              <w:t>.</w:t>
            </w:r>
            <w:r w:rsidR="00E6669C" w:rsidRPr="00D17055">
              <w:rPr>
                <w:lang w:val="tr-TR"/>
              </w:rPr>
              <w:t>000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69C" w:rsidRPr="00D17055" w:rsidRDefault="00E6669C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9C" w:rsidRPr="00D17055" w:rsidRDefault="00E6669C" w:rsidP="00B97C7E">
            <w:pPr>
              <w:jc w:val="center"/>
              <w:rPr>
                <w:lang w:val="tr-TR"/>
              </w:rPr>
            </w:pPr>
          </w:p>
        </w:tc>
      </w:tr>
      <w:tr w:rsidR="00781B86" w:rsidRPr="00D17055" w:rsidTr="00B97C7E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1926F7">
            <w:pPr>
              <w:rPr>
                <w:lang w:val="tr-TR"/>
              </w:rPr>
            </w:pPr>
            <w:r w:rsidRPr="00D17055">
              <w:rPr>
                <w:lang w:val="tr-TR"/>
              </w:rPr>
              <w:t>1205.10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234E7" w:rsidP="001926F7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 xml:space="preserve">Düşük erusik </w:t>
            </w:r>
            <w:r>
              <w:rPr>
                <w:lang w:val="tr-TR"/>
              </w:rPr>
              <w:t>asitli rep veya kolza tohumları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1926F7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2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000</w:t>
            </w:r>
          </w:p>
          <w:p w:rsidR="00781B86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1926F7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B97C7E">
            <w:pPr>
              <w:jc w:val="center"/>
              <w:rPr>
                <w:lang w:val="tr-TR"/>
              </w:rPr>
            </w:pPr>
          </w:p>
        </w:tc>
      </w:tr>
      <w:tr w:rsidR="00781B86" w:rsidRPr="00D17055" w:rsidTr="00B97C7E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533712">
            <w:pPr>
              <w:rPr>
                <w:lang w:val="tr-TR"/>
              </w:rPr>
            </w:pPr>
            <w:r w:rsidRPr="00D17055">
              <w:rPr>
                <w:lang w:val="tr-TR"/>
              </w:rPr>
              <w:t>1206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234E7" w:rsidP="00533712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 xml:space="preserve">Ayçiçeği </w:t>
            </w:r>
            <w:r>
              <w:rPr>
                <w:lang w:val="tr-TR"/>
              </w:rPr>
              <w:t>tohumu (kırılmış olsun olmasın)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533712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000</w:t>
            </w:r>
          </w:p>
          <w:p w:rsidR="00781B86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533712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B97C7E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01/01 - 31/05</w:t>
            </w:r>
          </w:p>
        </w:tc>
      </w:tr>
      <w:tr w:rsidR="00781B86" w:rsidRPr="00D17055" w:rsidTr="00B97C7E">
        <w:trPr>
          <w:cantSplit/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1507.10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234E7" w:rsidP="00BE0319">
            <w:pPr>
              <w:jc w:val="both"/>
              <w:rPr>
                <w:lang w:val="tr-TR"/>
              </w:rPr>
            </w:pPr>
            <w:r w:rsidRPr="007234E7">
              <w:rPr>
                <w:lang w:val="tr-TR"/>
              </w:rPr>
              <w:t xml:space="preserve">Ham yağ </w:t>
            </w:r>
            <w:r>
              <w:rPr>
                <w:lang w:val="tr-TR"/>
              </w:rPr>
              <w:t>(sakızı ayrılmış olsun olmasın)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2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B97C7E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01/01 - 31/05</w:t>
            </w:r>
          </w:p>
        </w:tc>
      </w:tr>
      <w:tr w:rsidR="00433236" w:rsidRPr="00D17055" w:rsidTr="00B97C7E">
        <w:trPr>
          <w:cantSplit/>
          <w:trHeight w:val="576"/>
          <w:jc w:val="center"/>
        </w:trPr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3236" w:rsidRPr="00D17055" w:rsidRDefault="0043323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1512</w:t>
            </w:r>
          </w:p>
        </w:tc>
        <w:tc>
          <w:tcPr>
            <w:tcW w:w="3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6918" w:rsidRPr="00016918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Ayçiçeği tohumu, aspir veya pamuk tohumu yağları ve bunların</w:t>
            </w:r>
          </w:p>
          <w:p w:rsidR="0043323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fraksiyonları (rafine edilmiş olsun olmasın, fakat kimyasal olarak</w:t>
            </w:r>
            <w:r>
              <w:rPr>
                <w:lang w:val="tr-TR"/>
              </w:rPr>
              <w:t xml:space="preserve"> değiştirilmemiş)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36" w:rsidRPr="00D17055" w:rsidRDefault="005813FD" w:rsidP="005561B0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>5</w:t>
            </w:r>
            <w:r w:rsidR="009641A4">
              <w:rPr>
                <w:lang w:val="tr-TR"/>
              </w:rPr>
              <w:t>00 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6" w:rsidRPr="00D17055" w:rsidRDefault="00433236" w:rsidP="005561B0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6" w:rsidRPr="00D17055" w:rsidRDefault="00433236" w:rsidP="00B97C7E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01/01 - 31/05</w:t>
            </w:r>
          </w:p>
        </w:tc>
      </w:tr>
      <w:tr w:rsidR="00433236" w:rsidRPr="00D17055" w:rsidTr="005813FD">
        <w:trPr>
          <w:cantSplit/>
          <w:trHeight w:val="576"/>
          <w:jc w:val="center"/>
        </w:trPr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36" w:rsidRPr="00D17055" w:rsidRDefault="00433236" w:rsidP="00C327F1">
            <w:pPr>
              <w:rPr>
                <w:highlight w:val="green"/>
                <w:lang w:val="tr-TR"/>
              </w:rPr>
            </w:pPr>
          </w:p>
        </w:tc>
        <w:tc>
          <w:tcPr>
            <w:tcW w:w="3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236" w:rsidRPr="00D17055" w:rsidRDefault="00433236" w:rsidP="00BE0319">
            <w:pPr>
              <w:jc w:val="both"/>
              <w:rPr>
                <w:highlight w:val="green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6" w:rsidRPr="00D17055" w:rsidRDefault="00433236" w:rsidP="00E8531A">
            <w:pPr>
              <w:jc w:val="center"/>
              <w:rPr>
                <w:highlight w:val="green"/>
                <w:lang w:val="tr-TR"/>
              </w:rPr>
            </w:pPr>
            <w:r w:rsidRPr="00D17055">
              <w:rPr>
                <w:lang w:val="tr-TR"/>
              </w:rPr>
              <w:t>5</w:t>
            </w:r>
            <w:r w:rsidR="009641A4">
              <w:rPr>
                <w:lang w:val="tr-TR"/>
              </w:rPr>
              <w:t>.000 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6" w:rsidRPr="00D17055" w:rsidRDefault="008639E2" w:rsidP="005561B0">
            <w:pPr>
              <w:jc w:val="center"/>
              <w:rPr>
                <w:highlight w:val="green"/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6" w:rsidRPr="00D17055" w:rsidRDefault="009641A4" w:rsidP="0044675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DİR</w:t>
            </w:r>
            <w:r w:rsidR="008639E2" w:rsidRPr="00D17055">
              <w:rPr>
                <w:vertAlign w:val="superscript"/>
                <w:lang w:val="tr-TR"/>
              </w:rPr>
              <w:t>(3)</w:t>
            </w: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lastRenderedPageBreak/>
              <w:t>1704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3F5041">
              <w:rPr>
                <w:lang w:val="tr-TR"/>
              </w:rPr>
              <w:t>Kakao içermeyen şeker mamulleri (beyaz çikolata dâhil)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9641A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1806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Çikolata ve kakao içeren diğer gıda müstahzarları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9641A4" w:rsidP="00B52F0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pStyle w:val="GvdeMetni"/>
              <w:jc w:val="center"/>
              <w:rPr>
                <w:rFonts w:cs="Times New Roman"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1905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18" w:rsidRPr="00016918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Ekmek, pasta, kek, bisküvi ve diğer ekmekçilik mamulleri (kakao</w:t>
            </w:r>
          </w:p>
          <w:p w:rsidR="00781B86" w:rsidRPr="00D17055" w:rsidRDefault="009641A4" w:rsidP="009641A4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i</w:t>
            </w:r>
            <w:r w:rsidR="00016918" w:rsidRPr="00016918">
              <w:rPr>
                <w:lang w:val="tr-TR"/>
              </w:rPr>
              <w:t>çersin</w:t>
            </w:r>
            <w:r>
              <w:rPr>
                <w:lang w:val="tr-TR"/>
              </w:rPr>
              <w:t xml:space="preserve"> </w:t>
            </w:r>
            <w:r w:rsidR="00016918" w:rsidRPr="00016918">
              <w:rPr>
                <w:lang w:val="tr-TR"/>
              </w:rPr>
              <w:t>içermesin); hosti, eczacılıkta kullanılan boş ilaç kapsülleri,</w:t>
            </w:r>
            <w:r w:rsidR="00016918">
              <w:rPr>
                <w:lang w:val="tr-TR"/>
              </w:rPr>
              <w:t xml:space="preserve"> </w:t>
            </w:r>
            <w:r w:rsidR="00016918" w:rsidRPr="00016918">
              <w:rPr>
                <w:lang w:val="tr-TR"/>
              </w:rPr>
              <w:t>mühür güllacı, p</w:t>
            </w:r>
            <w:r w:rsidR="00016918">
              <w:rPr>
                <w:lang w:val="tr-TR"/>
              </w:rPr>
              <w:t>irinç kağıdı ve benzeri ürünler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9641A4" w:rsidP="00B52F0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2005</w:t>
            </w:r>
          </w:p>
          <w:p w:rsidR="00781B86" w:rsidRPr="00D17055" w:rsidRDefault="00781B86" w:rsidP="00E47E98">
            <w:pPr>
              <w:pStyle w:val="GvdeMetni"/>
              <w:jc w:val="left"/>
              <w:rPr>
                <w:sz w:val="24"/>
                <w:szCs w:val="24"/>
                <w:lang w:val="tr-TR"/>
              </w:rPr>
            </w:pPr>
            <w:r w:rsidRPr="00D17055">
              <w:rPr>
                <w:sz w:val="24"/>
                <w:szCs w:val="24"/>
                <w:lang w:val="tr-TR"/>
              </w:rPr>
              <w:t>(2005.70</w:t>
            </w:r>
            <w:r w:rsidR="00E47E98">
              <w:rPr>
                <w:sz w:val="24"/>
                <w:szCs w:val="24"/>
                <w:lang w:val="tr-TR"/>
              </w:rPr>
              <w:t xml:space="preserve"> Hariç</w:t>
            </w:r>
            <w:r w:rsidRPr="00D17055">
              <w:rPr>
                <w:sz w:val="24"/>
                <w:szCs w:val="24"/>
                <w:lang w:val="tr-TR"/>
              </w:rPr>
              <w:t>)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18" w:rsidRPr="00016918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Diğer sebzeler (sirke veya asetik asitten başka usullerle hazır -</w:t>
            </w:r>
          </w:p>
          <w:p w:rsidR="00016918" w:rsidRPr="00016918" w:rsidRDefault="00016918" w:rsidP="00016918">
            <w:pPr>
              <w:pStyle w:val="GvdeMetni"/>
              <w:rPr>
                <w:rFonts w:cs="Times New Roman"/>
                <w:sz w:val="24"/>
                <w:szCs w:val="24"/>
                <w:lang w:val="tr-TR"/>
              </w:rPr>
            </w:pPr>
            <w:r>
              <w:rPr>
                <w:rFonts w:cs="Times New Roman"/>
                <w:sz w:val="24"/>
                <w:szCs w:val="24"/>
                <w:lang w:val="tr-TR"/>
              </w:rPr>
              <w:t>lanmış veya konserve edilmiş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,</w:t>
            </w:r>
            <w:r>
              <w:rPr>
                <w:rFonts w:cs="Times New Roman"/>
                <w:sz w:val="24"/>
                <w:szCs w:val="24"/>
                <w:lang w:val="tr-TR"/>
              </w:rPr>
              <w:t xml:space="preserve"> </w:t>
            </w:r>
            <w:r w:rsidRPr="00016918">
              <w:rPr>
                <w:rFonts w:cs="Times New Roman"/>
                <w:sz w:val="24"/>
                <w:szCs w:val="24"/>
                <w:lang w:val="tr-TR"/>
              </w:rPr>
              <w:t>dondurulmamış) (20.06 pozis-</w:t>
            </w:r>
          </w:p>
          <w:p w:rsidR="00781B86" w:rsidRPr="00D17055" w:rsidRDefault="00016918" w:rsidP="00016918">
            <w:pPr>
              <w:pStyle w:val="GvdeMetni"/>
              <w:rPr>
                <w:lang w:val="tr-TR"/>
              </w:rPr>
            </w:pPr>
            <w:r w:rsidRPr="00016918">
              <w:rPr>
                <w:rFonts w:cs="Times New Roman"/>
                <w:sz w:val="24"/>
                <w:szCs w:val="24"/>
                <w:lang w:val="tr-TR"/>
              </w:rPr>
              <w:t>yonundaki ürünler hariç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9641A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2007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18" w:rsidRPr="00016918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Reçeller, jöleler, marmelatlar, meyva veya sert kabuklu meyva</w:t>
            </w:r>
            <w:r w:rsidR="009641A4">
              <w:rPr>
                <w:lang w:val="tr-TR"/>
              </w:rPr>
              <w:t xml:space="preserve"> </w:t>
            </w:r>
            <w:r w:rsidRPr="00016918">
              <w:rPr>
                <w:lang w:val="tr-TR"/>
              </w:rPr>
              <w:t xml:space="preserve">püresi, meyva veya sert kabuklu meyva pastları (pişirilerek hazırlanmış) (ilave şeker veya diğer tatlandırıcı maddeleri içersin </w:t>
            </w:r>
          </w:p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içermesin)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9641A4">
            <w:pPr>
              <w:pStyle w:val="GvdeMetni"/>
              <w:jc w:val="center"/>
              <w:rPr>
                <w:rFonts w:cs="Times New Roman"/>
                <w:b/>
                <w:bCs/>
                <w:sz w:val="24"/>
                <w:szCs w:val="24"/>
                <w:lang w:val="tr-TR"/>
              </w:rPr>
            </w:pPr>
            <w:r w:rsidRPr="00D17055">
              <w:rPr>
                <w:rFonts w:cs="Times New Roman"/>
                <w:sz w:val="24"/>
                <w:szCs w:val="24"/>
                <w:lang w:val="tr-TR"/>
              </w:rPr>
              <w:t>250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B52F0D">
            <w:pPr>
              <w:jc w:val="center"/>
              <w:rPr>
                <w:b/>
                <w:bCs/>
                <w:lang w:val="tr-TR"/>
              </w:rPr>
            </w:pPr>
            <w:r w:rsidRPr="00D17055">
              <w:rPr>
                <w:lang w:val="tr-TR"/>
              </w:rPr>
              <w:t>100</w:t>
            </w:r>
            <w:r w:rsidRPr="00D17055">
              <w:rPr>
                <w:b/>
                <w:bCs/>
                <w:lang w:val="tr-TR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pStyle w:val="GvdeMetni"/>
              <w:jc w:val="center"/>
              <w:rPr>
                <w:rFonts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2009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Meyva suları (üzüm şırası dâhil) ve sebze suları (fermente edilmemiş ve alkol katılmamış), ilave şeker veya diğer tatlandırıcı maddeler katılmış olsun olmasın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 xml:space="preserve">500 </w:t>
            </w:r>
            <w:r w:rsidR="009641A4">
              <w:rPr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2103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 xml:space="preserve">Soslar ve müstahzarları; çeşni ve lezzet verici karışımlar; hardal </w:t>
            </w:r>
            <w:r>
              <w:rPr>
                <w:lang w:val="tr-TR"/>
              </w:rPr>
              <w:t>unu ve kaba unu ve hazır hardal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9641A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2105.00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Dondurma ve yenilen diğer buzlar (kakao içersin içermesin):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9641A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2202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 xml:space="preserve">Sular (mineral sular ve gazlı sular </w:t>
            </w:r>
            <w:r w:rsidR="007234E7" w:rsidRPr="00016918">
              <w:rPr>
                <w:lang w:val="tr-TR"/>
              </w:rPr>
              <w:t>dâhil</w:t>
            </w:r>
            <w:r w:rsidRPr="00016918">
              <w:rPr>
                <w:lang w:val="tr-TR"/>
              </w:rPr>
              <w:t>) (ilave şeker veya</w:t>
            </w:r>
            <w:r>
              <w:rPr>
                <w:lang w:val="tr-TR"/>
              </w:rPr>
              <w:t xml:space="preserve"> </w:t>
            </w:r>
            <w:r w:rsidRPr="00016918">
              <w:rPr>
                <w:lang w:val="tr-TR"/>
              </w:rPr>
              <w:t>diğer tatlandırıcı maddeler katılmış veya aromalandırılmış)</w:t>
            </w:r>
            <w:r>
              <w:rPr>
                <w:lang w:val="tr-TR"/>
              </w:rPr>
              <w:t xml:space="preserve"> </w:t>
            </w:r>
            <w:r w:rsidRPr="00016918">
              <w:rPr>
                <w:lang w:val="tr-TR"/>
              </w:rPr>
              <w:t>ve alkolsüz diğer içecekler (20.09 pozisyonundaki meyve ve</w:t>
            </w:r>
            <w:r>
              <w:rPr>
                <w:lang w:val="tr-TR"/>
              </w:rPr>
              <w:t xml:space="preserve"> sebze suları hariç)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9641A4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  <w:r w:rsidR="009641A4">
              <w:rPr>
                <w:lang w:val="tr-TR"/>
              </w:rPr>
              <w:t>.000 lit</w:t>
            </w:r>
            <w:r w:rsidRPr="00D17055">
              <w:rPr>
                <w:lang w:val="tr-TR"/>
              </w:rPr>
              <w:t>r</w:t>
            </w:r>
            <w:r w:rsidR="009641A4">
              <w:rPr>
                <w:lang w:val="tr-TR"/>
              </w:rPr>
              <w:t>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2204.10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Köpüklü şaraplar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B86" w:rsidRPr="00D17055" w:rsidRDefault="009044E0" w:rsidP="008067C8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8</w:t>
            </w:r>
            <w:r w:rsidR="009641A4">
              <w:rPr>
                <w:lang w:val="tr-TR"/>
              </w:rPr>
              <w:t>.</w:t>
            </w:r>
            <w:r w:rsidR="00781B86" w:rsidRPr="00D17055">
              <w:rPr>
                <w:lang w:val="tr-TR"/>
              </w:rPr>
              <w:t>000 hl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FA6128">
            <w:pPr>
              <w:jc w:val="center"/>
              <w:rPr>
                <w:lang w:val="tr-TR"/>
              </w:rPr>
            </w:pPr>
          </w:p>
        </w:tc>
      </w:tr>
      <w:tr w:rsidR="00781B86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 xml:space="preserve">2204.21 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Muhtevası 2 litr</w:t>
            </w:r>
            <w:r>
              <w:rPr>
                <w:lang w:val="tr-TR"/>
              </w:rPr>
              <w:t>e veya daha az kaplarda olanlar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highlight w:val="green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highlight w:val="green"/>
                <w:lang w:val="tr-TR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1B86" w:rsidRPr="00D17055" w:rsidRDefault="00781B86">
            <w:pPr>
              <w:jc w:val="center"/>
              <w:rPr>
                <w:lang w:val="tr-TR"/>
              </w:rPr>
            </w:pPr>
          </w:p>
        </w:tc>
      </w:tr>
      <w:tr w:rsidR="00781B86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2204.29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Diğerleri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highlight w:val="green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highlight w:val="green"/>
                <w:lang w:val="tr-TR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>
            <w:pPr>
              <w:jc w:val="center"/>
              <w:rPr>
                <w:lang w:val="tr-TR"/>
              </w:rPr>
            </w:pPr>
          </w:p>
        </w:tc>
      </w:tr>
      <w:tr w:rsidR="00781B86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2208.20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Üzüm şarabı veya üzüm cibresinin damıtılması yolu ile elde</w:t>
            </w:r>
            <w:r w:rsidR="007234E7">
              <w:rPr>
                <w:lang w:val="tr-TR"/>
              </w:rPr>
              <w:t xml:space="preserve"> </w:t>
            </w:r>
            <w:r>
              <w:rPr>
                <w:lang w:val="tr-TR"/>
              </w:rPr>
              <w:t>edilen alkollü içkiler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9641A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Sınırsız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>
            <w:pPr>
              <w:jc w:val="center"/>
              <w:rPr>
                <w:lang w:val="tr-TR"/>
              </w:rPr>
            </w:pPr>
          </w:p>
        </w:tc>
      </w:tr>
      <w:tr w:rsidR="00781B86" w:rsidRPr="00D17055" w:rsidTr="00B05B4D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t>2306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016918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 xml:space="preserve">Bitkisel katı veya </w:t>
            </w:r>
            <w:r>
              <w:rPr>
                <w:lang w:val="tr-TR"/>
              </w:rPr>
              <w:t xml:space="preserve">sıvı yağların ekstraksiyonundan  </w:t>
            </w:r>
            <w:r w:rsidRPr="00016918">
              <w:rPr>
                <w:lang w:val="tr-TR"/>
              </w:rPr>
              <w:t>(özütleme)</w:t>
            </w:r>
            <w:r>
              <w:rPr>
                <w:lang w:val="tr-TR"/>
              </w:rPr>
              <w:t xml:space="preserve"> </w:t>
            </w:r>
            <w:r w:rsidRPr="00016918">
              <w:rPr>
                <w:lang w:val="tr-TR"/>
              </w:rPr>
              <w:t xml:space="preserve">(23.04 ve 23.05 pozisyonundakiler </w:t>
            </w:r>
            <w:r w:rsidRPr="00016918">
              <w:rPr>
                <w:lang w:val="tr-TR"/>
              </w:rPr>
              <w:lastRenderedPageBreak/>
              <w:t>hariç) arta kalan küspe ve diğer katı artıklar (öğütülmüş veya "pellet" halinde olsun olmasın):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FA6128" w:rsidP="006B25CD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lastRenderedPageBreak/>
              <w:t>5</w:t>
            </w:r>
            <w:r w:rsidR="009641A4">
              <w:rPr>
                <w:lang w:val="tr-TR"/>
              </w:rPr>
              <w:t>.</w:t>
            </w:r>
            <w:r w:rsidRPr="00D17055">
              <w:rPr>
                <w:lang w:val="tr-TR"/>
              </w:rPr>
              <w:t xml:space="preserve">000 </w:t>
            </w:r>
            <w:r w:rsidR="00781B86" w:rsidRPr="00D17055">
              <w:rPr>
                <w:lang w:val="tr-TR"/>
              </w:rPr>
              <w:t>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FA6128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B52F0D">
            <w:pPr>
              <w:jc w:val="center"/>
              <w:rPr>
                <w:lang w:val="tr-TR"/>
              </w:rPr>
            </w:pPr>
          </w:p>
        </w:tc>
      </w:tr>
      <w:tr w:rsidR="00781B86" w:rsidRPr="00D17055" w:rsidTr="00FA6128">
        <w:trPr>
          <w:jc w:val="center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781B86" w:rsidP="00C327F1">
            <w:pPr>
              <w:rPr>
                <w:lang w:val="tr-TR"/>
              </w:rPr>
            </w:pPr>
            <w:r w:rsidRPr="00D17055">
              <w:rPr>
                <w:lang w:val="tr-TR"/>
              </w:rPr>
              <w:lastRenderedPageBreak/>
              <w:t>2401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86" w:rsidRPr="00D17055" w:rsidRDefault="00016918" w:rsidP="00BE0319">
            <w:pPr>
              <w:jc w:val="both"/>
              <w:rPr>
                <w:lang w:val="tr-TR"/>
              </w:rPr>
            </w:pPr>
            <w:r w:rsidRPr="00016918">
              <w:rPr>
                <w:lang w:val="tr-TR"/>
              </w:rPr>
              <w:t>Ya</w:t>
            </w:r>
            <w:r>
              <w:rPr>
                <w:lang w:val="tr-TR"/>
              </w:rPr>
              <w:t>prak tütün ve tütün döküntüleri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 w:rsidP="006B25CD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100 ton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781B86">
            <w:pPr>
              <w:jc w:val="center"/>
              <w:rPr>
                <w:lang w:val="tr-TR"/>
              </w:rPr>
            </w:pPr>
            <w:r w:rsidRPr="00D17055">
              <w:rPr>
                <w:lang w:val="tr-TR"/>
              </w:rPr>
              <w:t>50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B86" w:rsidRPr="00D17055" w:rsidRDefault="009641A4" w:rsidP="00FA612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Şark tipi hariç</w:t>
            </w:r>
          </w:p>
        </w:tc>
      </w:tr>
    </w:tbl>
    <w:p w:rsidR="00370AEE" w:rsidRPr="00D17055" w:rsidRDefault="00370AEE" w:rsidP="00370AEE">
      <w:pPr>
        <w:rPr>
          <w:lang w:val="tr-TR"/>
        </w:rPr>
      </w:pPr>
    </w:p>
    <w:p w:rsidR="007234E7" w:rsidRPr="007234E7" w:rsidRDefault="00A2609B" w:rsidP="007234E7">
      <w:pPr>
        <w:pStyle w:val="ListeParagraf"/>
        <w:numPr>
          <w:ilvl w:val="0"/>
          <w:numId w:val="5"/>
        </w:numPr>
        <w:tabs>
          <w:tab w:val="left" w:pos="426"/>
        </w:tabs>
        <w:ind w:left="0" w:firstLine="0"/>
        <w:rPr>
          <w:lang w:val="tr-TR"/>
        </w:rPr>
      </w:pPr>
      <w:r>
        <w:rPr>
          <w:bCs/>
          <w:lang w:val="en-GB"/>
        </w:rPr>
        <w:t xml:space="preserve">KN Kodu, Armonize Sistem 2012 </w:t>
      </w:r>
      <w:r>
        <w:rPr>
          <w:bCs/>
          <w:lang w:val="tr-TR"/>
        </w:rPr>
        <w:t>versiyonuna dayanmaktadır</w:t>
      </w:r>
      <w:r w:rsidRPr="00215A9D">
        <w:rPr>
          <w:bCs/>
          <w:lang w:val="tr-TR"/>
        </w:rPr>
        <w:t>.</w:t>
      </w:r>
    </w:p>
    <w:p w:rsidR="00DF1126" w:rsidRPr="00D17055" w:rsidRDefault="007234E7" w:rsidP="00DF1126">
      <w:pPr>
        <w:pStyle w:val="ListeParagraf"/>
        <w:numPr>
          <w:ilvl w:val="0"/>
          <w:numId w:val="5"/>
        </w:numPr>
        <w:tabs>
          <w:tab w:val="left" w:pos="426"/>
        </w:tabs>
        <w:ind w:left="0" w:firstLine="0"/>
        <w:rPr>
          <w:lang w:val="tr-TR"/>
        </w:rPr>
      </w:pPr>
      <w:r>
        <w:rPr>
          <w:lang w:val="tr-TR"/>
        </w:rPr>
        <w:t>DİR</w:t>
      </w:r>
      <w:r w:rsidR="00D61B4C" w:rsidRPr="00D17055">
        <w:rPr>
          <w:lang w:val="tr-TR"/>
        </w:rPr>
        <w:t>:</w:t>
      </w:r>
      <w:r>
        <w:rPr>
          <w:lang w:val="tr-TR"/>
        </w:rPr>
        <w:t xml:space="preserve"> </w:t>
      </w:r>
      <w:r w:rsidR="009641A4">
        <w:rPr>
          <w:lang w:val="tr-TR"/>
        </w:rPr>
        <w:t>Dâhilde</w:t>
      </w:r>
      <w:r>
        <w:rPr>
          <w:lang w:val="tr-TR"/>
        </w:rPr>
        <w:t xml:space="preserve"> İşleme Rejimi kapsamında tercihli rejim uygulanır</w:t>
      </w:r>
      <w:r w:rsidR="00D61B4C" w:rsidRPr="00D17055">
        <w:rPr>
          <w:lang w:val="tr-TR"/>
        </w:rPr>
        <w:t>.</w:t>
      </w:r>
    </w:p>
    <w:sectPr w:rsidR="00DF1126" w:rsidRPr="00D1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A5" w:rsidRDefault="008907A5" w:rsidP="00CD7638">
      <w:r>
        <w:separator/>
      </w:r>
    </w:p>
  </w:endnote>
  <w:endnote w:type="continuationSeparator" w:id="0">
    <w:p w:rsidR="008907A5" w:rsidRDefault="008907A5" w:rsidP="00CD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A5" w:rsidRDefault="008907A5" w:rsidP="00CD7638">
      <w:r>
        <w:separator/>
      </w:r>
    </w:p>
  </w:footnote>
  <w:footnote w:type="continuationSeparator" w:id="0">
    <w:p w:rsidR="008907A5" w:rsidRDefault="008907A5" w:rsidP="00CD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5F"/>
    <w:multiLevelType w:val="singleLevel"/>
    <w:tmpl w:val="FBB2753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TUR" w:hAnsi="Times New Roman TUR" w:cs="Times New Roman" w:hint="default"/>
      </w:rPr>
    </w:lvl>
  </w:abstractNum>
  <w:abstractNum w:abstractNumId="1" w15:restartNumberingAfterBreak="0">
    <w:nsid w:val="066212F8"/>
    <w:multiLevelType w:val="singleLevel"/>
    <w:tmpl w:val="BBE8261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TUR" w:hAnsi="Times New Roman TUR" w:cs="Times New Roman" w:hint="default"/>
      </w:rPr>
    </w:lvl>
  </w:abstractNum>
  <w:abstractNum w:abstractNumId="2" w15:restartNumberingAfterBreak="0">
    <w:nsid w:val="0E797BAC"/>
    <w:multiLevelType w:val="hybridMultilevel"/>
    <w:tmpl w:val="AA34F954"/>
    <w:lvl w:ilvl="0" w:tplc="6D2E1E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B97424"/>
    <w:multiLevelType w:val="hybridMultilevel"/>
    <w:tmpl w:val="48D69A32"/>
    <w:lvl w:ilvl="0" w:tplc="EFA650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072F"/>
    <w:multiLevelType w:val="hybridMultilevel"/>
    <w:tmpl w:val="1E3ADBB8"/>
    <w:lvl w:ilvl="0" w:tplc="041F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4"/>
    <w:rsid w:val="00006DED"/>
    <w:rsid w:val="00016918"/>
    <w:rsid w:val="00091FD2"/>
    <w:rsid w:val="000B1C9A"/>
    <w:rsid w:val="000E67F0"/>
    <w:rsid w:val="000F0D65"/>
    <w:rsid w:val="00150826"/>
    <w:rsid w:val="0018348D"/>
    <w:rsid w:val="00184C32"/>
    <w:rsid w:val="00210942"/>
    <w:rsid w:val="00257214"/>
    <w:rsid w:val="002C2FA4"/>
    <w:rsid w:val="002D1198"/>
    <w:rsid w:val="0031149F"/>
    <w:rsid w:val="0037051C"/>
    <w:rsid w:val="00370AEE"/>
    <w:rsid w:val="003C3F14"/>
    <w:rsid w:val="003F5041"/>
    <w:rsid w:val="00406386"/>
    <w:rsid w:val="00433236"/>
    <w:rsid w:val="004451AC"/>
    <w:rsid w:val="0044675A"/>
    <w:rsid w:val="004F7112"/>
    <w:rsid w:val="0050683B"/>
    <w:rsid w:val="00546565"/>
    <w:rsid w:val="005561B0"/>
    <w:rsid w:val="005732CB"/>
    <w:rsid w:val="005813FD"/>
    <w:rsid w:val="0058743C"/>
    <w:rsid w:val="005B5EEA"/>
    <w:rsid w:val="005E7864"/>
    <w:rsid w:val="00602817"/>
    <w:rsid w:val="00614B27"/>
    <w:rsid w:val="00630E9E"/>
    <w:rsid w:val="00660B99"/>
    <w:rsid w:val="006B25CD"/>
    <w:rsid w:val="00700A90"/>
    <w:rsid w:val="007234E7"/>
    <w:rsid w:val="00725A08"/>
    <w:rsid w:val="007522B6"/>
    <w:rsid w:val="00754A76"/>
    <w:rsid w:val="0076347B"/>
    <w:rsid w:val="00781B86"/>
    <w:rsid w:val="007C2BD9"/>
    <w:rsid w:val="007D0AD9"/>
    <w:rsid w:val="008112F1"/>
    <w:rsid w:val="00842CA2"/>
    <w:rsid w:val="008639E2"/>
    <w:rsid w:val="008670BF"/>
    <w:rsid w:val="008907A5"/>
    <w:rsid w:val="008B6BB5"/>
    <w:rsid w:val="009044E0"/>
    <w:rsid w:val="009641A4"/>
    <w:rsid w:val="009828DA"/>
    <w:rsid w:val="00A07CFD"/>
    <w:rsid w:val="00A17140"/>
    <w:rsid w:val="00A2609B"/>
    <w:rsid w:val="00A95487"/>
    <w:rsid w:val="00AA2D01"/>
    <w:rsid w:val="00AE2777"/>
    <w:rsid w:val="00B05B4D"/>
    <w:rsid w:val="00B334DF"/>
    <w:rsid w:val="00B52F0D"/>
    <w:rsid w:val="00B55B4D"/>
    <w:rsid w:val="00B62D8C"/>
    <w:rsid w:val="00B97C7E"/>
    <w:rsid w:val="00BE0319"/>
    <w:rsid w:val="00C22B01"/>
    <w:rsid w:val="00C327F1"/>
    <w:rsid w:val="00CA749A"/>
    <w:rsid w:val="00CD7638"/>
    <w:rsid w:val="00CF28DB"/>
    <w:rsid w:val="00D17055"/>
    <w:rsid w:val="00D43115"/>
    <w:rsid w:val="00D61B4C"/>
    <w:rsid w:val="00DA1B7D"/>
    <w:rsid w:val="00DC6173"/>
    <w:rsid w:val="00DF1126"/>
    <w:rsid w:val="00E47E98"/>
    <w:rsid w:val="00E6669C"/>
    <w:rsid w:val="00E813B8"/>
    <w:rsid w:val="00E8531A"/>
    <w:rsid w:val="00EB7989"/>
    <w:rsid w:val="00F733FD"/>
    <w:rsid w:val="00FA2409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9514-0112-4E7A-A940-994A8EB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370AEE"/>
    <w:pPr>
      <w:autoSpaceDE w:val="0"/>
      <w:autoSpaceDN w:val="0"/>
      <w:adjustRightInd w:val="0"/>
      <w:outlineLvl w:val="0"/>
    </w:pPr>
    <w:rPr>
      <w:rFonts w:ascii="Times New Roman TUR" w:hAnsi="Times New Roman TUR"/>
      <w:sz w:val="20"/>
      <w:lang w:val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370AEE"/>
    <w:pPr>
      <w:autoSpaceDE w:val="0"/>
      <w:autoSpaceDN w:val="0"/>
      <w:adjustRightInd w:val="0"/>
      <w:outlineLvl w:val="1"/>
    </w:pPr>
    <w:rPr>
      <w:rFonts w:ascii="Times New Roman TUR" w:hAnsi="Times New Roman TUR"/>
      <w:sz w:val="20"/>
      <w:lang w:val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70AEE"/>
    <w:pPr>
      <w:autoSpaceDE w:val="0"/>
      <w:autoSpaceDN w:val="0"/>
      <w:adjustRightInd w:val="0"/>
      <w:outlineLvl w:val="2"/>
    </w:pPr>
    <w:rPr>
      <w:rFonts w:ascii="Times New Roman TUR" w:hAnsi="Times New Roman TUR"/>
      <w:sz w:val="20"/>
      <w:lang w:val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70AEE"/>
    <w:pPr>
      <w:autoSpaceDE w:val="0"/>
      <w:autoSpaceDN w:val="0"/>
      <w:adjustRightInd w:val="0"/>
      <w:outlineLvl w:val="3"/>
    </w:pPr>
    <w:rPr>
      <w:rFonts w:ascii="Times New Roman TUR" w:hAnsi="Times New Roman TUR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0AEE"/>
    <w:rPr>
      <w:rFonts w:ascii="Times New Roman TUR" w:eastAsia="Times New Roman" w:hAnsi="Times New Roman TUR" w:cs="Times New Roman"/>
      <w:sz w:val="20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370AEE"/>
    <w:rPr>
      <w:rFonts w:ascii="Times New Roman TUR" w:eastAsia="Times New Roman" w:hAnsi="Times New Roman TUR" w:cs="Times New Roman"/>
      <w:sz w:val="20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370AEE"/>
    <w:rPr>
      <w:rFonts w:ascii="Times New Roman TUR" w:eastAsia="Times New Roman" w:hAnsi="Times New Roman TUR" w:cs="Times New Roman"/>
      <w:sz w:val="20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70AEE"/>
    <w:rPr>
      <w:rFonts w:ascii="Times New Roman TUR" w:eastAsia="Times New Roman" w:hAnsi="Times New Roman TUR" w:cs="Times New Roman"/>
      <w:sz w:val="20"/>
      <w:szCs w:val="24"/>
    </w:rPr>
  </w:style>
  <w:style w:type="paragraph" w:styleId="GvdeMetni">
    <w:name w:val="Body Text"/>
    <w:basedOn w:val="Normal"/>
    <w:link w:val="GvdeMetniChar"/>
    <w:unhideWhenUsed/>
    <w:rsid w:val="00370AEE"/>
    <w:pPr>
      <w:jc w:val="both"/>
    </w:pPr>
    <w:rPr>
      <w:rFonts w:cs="Times New Roman TUR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370AEE"/>
    <w:rPr>
      <w:rFonts w:ascii="Times New Roman" w:eastAsia="Times New Roman" w:hAnsi="Times New Roman" w:cs="Times New Roman TUR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4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DF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61B4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D763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7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D7638"/>
    <w:rPr>
      <w:vertAlign w:val="superscript"/>
    </w:rPr>
  </w:style>
  <w:style w:type="paragraph" w:styleId="stbilgi">
    <w:name w:val="header"/>
    <w:aliases w:val="Header1"/>
    <w:basedOn w:val="Normal"/>
    <w:link w:val="stbilgiChar"/>
    <w:uiPriority w:val="99"/>
    <w:unhideWhenUsed/>
    <w:rsid w:val="00CD76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eader1 Char"/>
    <w:basedOn w:val="VarsaylanParagrafYazTipi"/>
    <w:link w:val="stbilgi"/>
    <w:uiPriority w:val="99"/>
    <w:rsid w:val="00CD7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D76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76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75CC-60E5-42F4-9AC2-3658892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Özlem TAYTAŞ</cp:lastModifiedBy>
  <cp:revision>54</cp:revision>
  <cp:lastPrinted>2013-02-11T17:15:00Z</cp:lastPrinted>
  <dcterms:created xsi:type="dcterms:W3CDTF">2013-02-06T17:15:00Z</dcterms:created>
  <dcterms:modified xsi:type="dcterms:W3CDTF">2016-02-02T14:43:00Z</dcterms:modified>
</cp:coreProperties>
</file>