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  <w:id w:val="75731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548B0" w:rsidRDefault="007548B0" w:rsidP="00C21B69">
          <w:pPr>
            <w:pStyle w:val="KonuBal"/>
            <w:jc w:val="center"/>
            <w:rPr>
              <w:rFonts w:asciiTheme="minorHAnsi" w:eastAsiaTheme="minorEastAsia" w:hAnsiTheme="minorHAnsi" w:cstheme="minorBidi"/>
              <w:spacing w:val="0"/>
              <w:kern w:val="2"/>
              <w:sz w:val="21"/>
              <w:szCs w:val="22"/>
            </w:rPr>
          </w:pPr>
        </w:p>
        <w:p w:rsidR="007548B0" w:rsidRDefault="007548B0" w:rsidP="00C21B69">
          <w:pPr>
            <w:pStyle w:val="KonuBal"/>
            <w:jc w:val="center"/>
            <w:rPr>
              <w:rFonts w:asciiTheme="minorHAnsi" w:eastAsiaTheme="minorEastAsia" w:hAnsiTheme="minorHAnsi" w:cstheme="minorBidi"/>
              <w:spacing w:val="0"/>
              <w:kern w:val="2"/>
              <w:sz w:val="21"/>
              <w:szCs w:val="22"/>
            </w:rPr>
          </w:pPr>
        </w:p>
        <w:p w:rsidR="007548B0" w:rsidRDefault="007548B0" w:rsidP="00C21B69">
          <w:pPr>
            <w:pStyle w:val="KonuBal"/>
            <w:jc w:val="center"/>
            <w:rPr>
              <w:rFonts w:asciiTheme="minorHAnsi" w:eastAsiaTheme="minorEastAsia" w:hAnsiTheme="minorHAnsi" w:cstheme="minorBidi"/>
              <w:spacing w:val="0"/>
              <w:kern w:val="2"/>
              <w:sz w:val="21"/>
              <w:szCs w:val="22"/>
            </w:rPr>
          </w:pPr>
        </w:p>
        <w:p w:rsidR="007878E1" w:rsidRDefault="00C21B69" w:rsidP="00C21B69">
          <w:pPr>
            <w:pStyle w:val="KonuBal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 w:rsidRPr="00C21B69">
            <w:rPr>
              <w:b/>
              <w:color w:val="17365D" w:themeColor="text2" w:themeShade="BF"/>
              <w:sz w:val="32"/>
              <w:szCs w:val="32"/>
            </w:rPr>
            <w:t>ÇİN HALK CUMHURİYETİN</w:t>
          </w:r>
          <w:r w:rsidR="007878E1">
            <w:rPr>
              <w:b/>
              <w:color w:val="17365D" w:themeColor="text2" w:themeShade="BF"/>
              <w:sz w:val="32"/>
              <w:szCs w:val="32"/>
            </w:rPr>
            <w:t>D</w:t>
          </w:r>
          <w:r w:rsidRPr="00C21B69">
            <w:rPr>
              <w:b/>
              <w:color w:val="17365D" w:themeColor="text2" w:themeShade="BF"/>
              <w:sz w:val="32"/>
              <w:szCs w:val="32"/>
            </w:rPr>
            <w:t>E</w:t>
          </w:r>
          <w:r w:rsidR="007878E1">
            <w:rPr>
              <w:b/>
              <w:color w:val="17365D" w:themeColor="text2" w:themeShade="BF"/>
              <w:sz w:val="32"/>
              <w:szCs w:val="32"/>
            </w:rPr>
            <w:t xml:space="preserve"> 2025 YILINDA</w:t>
          </w:r>
        </w:p>
        <w:p w:rsidR="00C21B69" w:rsidRPr="00C21B69" w:rsidRDefault="007878E1" w:rsidP="00C21B69">
          <w:pPr>
            <w:pStyle w:val="KonuBal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 xml:space="preserve"> UYGULANACK OLAN </w:t>
          </w:r>
          <w:r w:rsidR="00C21B69" w:rsidRPr="00C21B69">
            <w:rPr>
              <w:b/>
              <w:color w:val="17365D" w:themeColor="text2" w:themeShade="BF"/>
              <w:sz w:val="32"/>
              <w:szCs w:val="32"/>
            </w:rPr>
            <w:t>İTHALAT</w:t>
          </w:r>
          <w:r>
            <w:rPr>
              <w:b/>
              <w:color w:val="17365D" w:themeColor="text2" w:themeShade="BF"/>
              <w:sz w:val="32"/>
              <w:szCs w:val="32"/>
            </w:rPr>
            <w:t xml:space="preserve"> VE İHRACAT VERGİLERİ</w:t>
          </w:r>
        </w:p>
        <w:p w:rsidR="00C21B69" w:rsidRDefault="00C21B69">
          <w:pPr>
            <w:pStyle w:val="TBal"/>
          </w:pPr>
        </w:p>
        <w:p w:rsidR="007548B0" w:rsidRDefault="007548B0" w:rsidP="007548B0"/>
        <w:p w:rsidR="00C21B69" w:rsidRDefault="00C21B69">
          <w:pPr>
            <w:pStyle w:val="TBal"/>
          </w:pPr>
          <w:r>
            <w:t>İçindekiler Tablosu</w:t>
          </w:r>
        </w:p>
        <w:p w:rsidR="007548B0" w:rsidRDefault="00C21B69">
          <w:pPr>
            <w:pStyle w:val="T1"/>
            <w:tabs>
              <w:tab w:val="right" w:leader="dot" w:pos="9247"/>
            </w:tabs>
            <w:rPr>
              <w:noProof/>
              <w:kern w:val="0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142815" w:history="1">
            <w:r w:rsidR="007548B0" w:rsidRPr="00102A96">
              <w:rPr>
                <w:rStyle w:val="Kpr"/>
                <w:noProof/>
              </w:rPr>
              <w:t>1.ÇHC İthalat Vergisi:</w:t>
            </w:r>
            <w:r w:rsidR="007548B0">
              <w:rPr>
                <w:noProof/>
                <w:webHidden/>
              </w:rPr>
              <w:tab/>
            </w:r>
            <w:r w:rsidR="007548B0">
              <w:rPr>
                <w:noProof/>
                <w:webHidden/>
              </w:rPr>
              <w:fldChar w:fldCharType="begin"/>
            </w:r>
            <w:r w:rsidR="007548B0">
              <w:rPr>
                <w:noProof/>
                <w:webHidden/>
              </w:rPr>
              <w:instrText xml:space="preserve"> PAGEREF _Toc187142815 \h </w:instrText>
            </w:r>
            <w:r w:rsidR="007548B0">
              <w:rPr>
                <w:noProof/>
                <w:webHidden/>
              </w:rPr>
            </w:r>
            <w:r w:rsidR="007548B0">
              <w:rPr>
                <w:noProof/>
                <w:webHidden/>
              </w:rPr>
              <w:fldChar w:fldCharType="separate"/>
            </w:r>
            <w:r w:rsidR="007548B0">
              <w:rPr>
                <w:noProof/>
                <w:webHidden/>
              </w:rPr>
              <w:t>2</w:t>
            </w:r>
            <w:r w:rsidR="007548B0">
              <w:rPr>
                <w:noProof/>
                <w:webHidden/>
              </w:rPr>
              <w:fldChar w:fldCharType="end"/>
            </w:r>
          </w:hyperlink>
        </w:p>
        <w:p w:rsidR="007548B0" w:rsidRDefault="007548B0">
          <w:pPr>
            <w:pStyle w:val="T1"/>
            <w:tabs>
              <w:tab w:val="right" w:leader="dot" w:pos="9247"/>
            </w:tabs>
            <w:rPr>
              <w:noProof/>
              <w:kern w:val="0"/>
              <w:sz w:val="22"/>
            </w:rPr>
          </w:pPr>
          <w:hyperlink w:anchor="_Toc187142816" w:history="1">
            <w:r w:rsidRPr="00102A96">
              <w:rPr>
                <w:rStyle w:val="Kpr"/>
                <w:noProof/>
              </w:rPr>
              <w:t>2.ÇHC İhracat Vergisi: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48B0" w:rsidRDefault="007548B0">
          <w:pPr>
            <w:pStyle w:val="T1"/>
            <w:tabs>
              <w:tab w:val="right" w:leader="dot" w:pos="9247"/>
            </w:tabs>
            <w:rPr>
              <w:noProof/>
              <w:kern w:val="0"/>
              <w:sz w:val="22"/>
            </w:rPr>
          </w:pPr>
          <w:hyperlink w:anchor="_Toc187142817" w:history="1">
            <w:r w:rsidRPr="00102A96">
              <w:rPr>
                <w:rStyle w:val="Kpr"/>
                <w:noProof/>
              </w:rPr>
              <w:t>3.ÇHC Tercihli Tarife Uygulamaları: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1B69" w:rsidRDefault="00C21B69">
          <w:r>
            <w:rPr>
              <w:b/>
              <w:bCs/>
            </w:rPr>
            <w:fldChar w:fldCharType="end"/>
          </w:r>
        </w:p>
      </w:sdtContent>
    </w:sdt>
    <w:p w:rsidR="00770259" w:rsidRPr="00770259" w:rsidRDefault="00770259" w:rsidP="00770259"/>
    <w:p w:rsidR="00B67DD8" w:rsidRDefault="00B67DD8" w:rsidP="00B67DD8">
      <w:pPr>
        <w:rPr>
          <w:sz w:val="24"/>
        </w:rPr>
      </w:pPr>
    </w:p>
    <w:p w:rsidR="00C21B69" w:rsidRDefault="00C21B69" w:rsidP="00B67DD8">
      <w:pPr>
        <w:rPr>
          <w:sz w:val="24"/>
        </w:rPr>
      </w:pPr>
    </w:p>
    <w:p w:rsidR="00C21B69" w:rsidRDefault="00C21B69" w:rsidP="00B67DD8">
      <w:pPr>
        <w:rPr>
          <w:sz w:val="24"/>
        </w:rPr>
      </w:pPr>
    </w:p>
    <w:p w:rsidR="003B7D25" w:rsidRDefault="003B7D25" w:rsidP="00B67DD8">
      <w:pPr>
        <w:rPr>
          <w:sz w:val="24"/>
        </w:rPr>
      </w:pPr>
    </w:p>
    <w:p w:rsidR="003B7D25" w:rsidRDefault="003B7D25" w:rsidP="00B67DD8">
      <w:pPr>
        <w:rPr>
          <w:sz w:val="24"/>
        </w:rPr>
      </w:pPr>
    </w:p>
    <w:p w:rsidR="003B7D25" w:rsidRDefault="003B7D25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7548B0" w:rsidRDefault="007548B0" w:rsidP="00B67DD8">
      <w:pPr>
        <w:rPr>
          <w:sz w:val="24"/>
        </w:rPr>
      </w:pPr>
    </w:p>
    <w:p w:rsidR="003B7D25" w:rsidRDefault="003B7D25" w:rsidP="00B67DD8">
      <w:pPr>
        <w:rPr>
          <w:sz w:val="24"/>
        </w:rPr>
      </w:pPr>
    </w:p>
    <w:p w:rsidR="003B7D25" w:rsidRDefault="003B7D25" w:rsidP="00B67DD8">
      <w:pPr>
        <w:rPr>
          <w:sz w:val="24"/>
        </w:rPr>
      </w:pPr>
    </w:p>
    <w:p w:rsidR="003B7D25" w:rsidRDefault="003B7D25" w:rsidP="00B67DD8">
      <w:pPr>
        <w:rPr>
          <w:sz w:val="24"/>
        </w:rPr>
      </w:pPr>
    </w:p>
    <w:p w:rsidR="00C21B69" w:rsidRDefault="00C21B69" w:rsidP="00B67DD8">
      <w:pPr>
        <w:rPr>
          <w:sz w:val="24"/>
        </w:rPr>
      </w:pPr>
    </w:p>
    <w:p w:rsidR="00C21B69" w:rsidRDefault="007878E1" w:rsidP="003B7D25">
      <w:pPr>
        <w:jc w:val="center"/>
        <w:rPr>
          <w:sz w:val="24"/>
        </w:rPr>
      </w:pPr>
      <w:r>
        <w:rPr>
          <w:sz w:val="24"/>
        </w:rPr>
        <w:t>10</w:t>
      </w:r>
      <w:r w:rsidR="003B7D25">
        <w:rPr>
          <w:sz w:val="24"/>
        </w:rPr>
        <w:t xml:space="preserve"> Ocak 2025</w:t>
      </w:r>
    </w:p>
    <w:p w:rsidR="00C21B69" w:rsidRDefault="00C21B69" w:rsidP="00B67DD8">
      <w:pPr>
        <w:rPr>
          <w:sz w:val="24"/>
        </w:rPr>
      </w:pPr>
    </w:p>
    <w:p w:rsidR="00C21B69" w:rsidRDefault="00C21B69" w:rsidP="00B67DD8">
      <w:pPr>
        <w:rPr>
          <w:sz w:val="24"/>
        </w:rPr>
      </w:pPr>
    </w:p>
    <w:p w:rsidR="00C21B69" w:rsidRDefault="00C21B69" w:rsidP="00B67DD8">
      <w:pPr>
        <w:rPr>
          <w:sz w:val="24"/>
        </w:rPr>
      </w:pPr>
    </w:p>
    <w:p w:rsidR="00C21B69" w:rsidRDefault="00C21B69" w:rsidP="00B67DD8">
      <w:pPr>
        <w:rPr>
          <w:sz w:val="24"/>
        </w:rPr>
      </w:pPr>
    </w:p>
    <w:p w:rsidR="007878E1" w:rsidRDefault="007878E1" w:rsidP="00B67DD8">
      <w:pPr>
        <w:rPr>
          <w:sz w:val="24"/>
        </w:rPr>
      </w:pPr>
    </w:p>
    <w:p w:rsidR="007878E1" w:rsidRDefault="007878E1" w:rsidP="00B67DD8">
      <w:pPr>
        <w:rPr>
          <w:sz w:val="24"/>
        </w:rPr>
      </w:pPr>
    </w:p>
    <w:p w:rsidR="00B67DD8" w:rsidRDefault="004A0A32" w:rsidP="00770259">
      <w:pPr>
        <w:pStyle w:val="Balk1"/>
        <w:rPr>
          <w:sz w:val="24"/>
          <w:szCs w:val="24"/>
        </w:rPr>
      </w:pPr>
      <w:bookmarkStart w:id="0" w:name="_Toc187142815"/>
      <w:bookmarkStart w:id="1" w:name="_GoBack"/>
      <w:bookmarkEnd w:id="1"/>
      <w:r>
        <w:t>1.</w:t>
      </w:r>
      <w:r w:rsidR="00E622EB">
        <w:t>ÇHC İthalat Vergisi:</w:t>
      </w:r>
      <w:bookmarkEnd w:id="0"/>
      <w:r w:rsidR="00E622EB">
        <w:t xml:space="preserve"> </w:t>
      </w: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Çin Devlet Konseyi Tarife Komisyonu’nun 12 sayılı, 26 Aralık 2024 tarihli duyurusuna göre 1 Ocak 2025 tarihinden itibaren </w:t>
      </w:r>
      <w:proofErr w:type="spellStart"/>
      <w:r w:rsidRPr="00E622EB">
        <w:rPr>
          <w:rFonts w:ascii="Times New Roman" w:hAnsi="Times New Roman" w:cs="Times New Roman"/>
          <w:sz w:val="24"/>
          <w:szCs w:val="24"/>
        </w:rPr>
        <w:t>ÇHC’ne</w:t>
      </w:r>
      <w:proofErr w:type="spellEnd"/>
      <w:r w:rsidRPr="00E622EB">
        <w:rPr>
          <w:rFonts w:ascii="Times New Roman" w:hAnsi="Times New Roman" w:cs="Times New Roman"/>
          <w:sz w:val="24"/>
          <w:szCs w:val="24"/>
        </w:rPr>
        <w:t xml:space="preserve"> gerçekleştirilecek olan ithalat işlemlerinde 935 adet üründe MFN </w:t>
      </w:r>
      <w:r>
        <w:rPr>
          <w:rFonts w:ascii="Times New Roman" w:hAnsi="Times New Roman" w:cs="Times New Roman"/>
          <w:sz w:val="24"/>
          <w:szCs w:val="24"/>
        </w:rPr>
        <w:t xml:space="preserve">(En Çok Kayrılan Ülke) </w:t>
      </w:r>
      <w:r w:rsidRPr="00E622EB">
        <w:rPr>
          <w:rFonts w:ascii="Times New Roman" w:hAnsi="Times New Roman" w:cs="Times New Roman"/>
          <w:sz w:val="24"/>
          <w:szCs w:val="24"/>
        </w:rPr>
        <w:t xml:space="preserve">oranından daha düşük olan geçici indirimli gümrük tarifesi uygulanacaktır. </w:t>
      </w: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22EB">
        <w:rPr>
          <w:rFonts w:ascii="Times New Roman" w:hAnsi="Times New Roman" w:cs="Times New Roman"/>
          <w:sz w:val="24"/>
          <w:szCs w:val="24"/>
        </w:rPr>
        <w:t>Mezkur</w:t>
      </w:r>
      <w:proofErr w:type="gramEnd"/>
      <w:r w:rsidRPr="00E622EB">
        <w:rPr>
          <w:rFonts w:ascii="Times New Roman" w:hAnsi="Times New Roman" w:cs="Times New Roman"/>
          <w:sz w:val="24"/>
          <w:szCs w:val="24"/>
        </w:rPr>
        <w:t xml:space="preserve"> açıklama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2EB">
        <w:rPr>
          <w:rFonts w:ascii="Times New Roman" w:hAnsi="Times New Roman" w:cs="Times New Roman"/>
          <w:sz w:val="24"/>
          <w:szCs w:val="24"/>
        </w:rPr>
        <w:t>ve eklerine</w:t>
      </w:r>
      <w:r>
        <w:rPr>
          <w:rFonts w:ascii="Times New Roman" w:hAnsi="Times New Roman" w:cs="Times New Roman"/>
          <w:sz w:val="24"/>
          <w:szCs w:val="24"/>
        </w:rPr>
        <w:t xml:space="preserve"> aşağıdaki link üzerinden erişmek mümkündür. </w:t>
      </w:r>
      <w:r w:rsidRPr="00E622E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C0D4F">
          <w:rPr>
            <w:rStyle w:val="Kpr"/>
            <w:rFonts w:ascii="Times New Roman" w:hAnsi="Times New Roman" w:cs="Times New Roman"/>
            <w:sz w:val="24"/>
            <w:szCs w:val="24"/>
          </w:rPr>
          <w:t>https://www.gov.cn/zheng</w:t>
        </w:r>
        <w:r w:rsidRPr="003C0D4F">
          <w:rPr>
            <w:rStyle w:val="Kpr"/>
            <w:rFonts w:ascii="Times New Roman" w:hAnsi="Times New Roman" w:cs="Times New Roman"/>
            <w:sz w:val="24"/>
            <w:szCs w:val="24"/>
          </w:rPr>
          <w:t>c</w:t>
        </w:r>
        <w:r w:rsidRPr="003C0D4F">
          <w:rPr>
            <w:rStyle w:val="Kpr"/>
            <w:rFonts w:ascii="Times New Roman" w:hAnsi="Times New Roman" w:cs="Times New Roman"/>
            <w:sz w:val="24"/>
            <w:szCs w:val="24"/>
          </w:rPr>
          <w:t>e/zhengceku/202412/content_6995067.htm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>İndirimli ithalat vergilerini içeren listenin</w:t>
      </w:r>
      <w:r w:rsidR="00BD0D0C">
        <w:rPr>
          <w:rFonts w:ascii="Times New Roman" w:hAnsi="Times New Roman" w:cs="Times New Roman"/>
          <w:sz w:val="24"/>
          <w:szCs w:val="24"/>
        </w:rPr>
        <w:t xml:space="preserve"> Çince </w:t>
      </w:r>
      <w:proofErr w:type="spellStart"/>
      <w:r w:rsidR="00BD0D0C">
        <w:rPr>
          <w:rFonts w:ascii="Times New Roman" w:hAnsi="Times New Roman" w:cs="Times New Roman"/>
          <w:sz w:val="24"/>
          <w:szCs w:val="24"/>
        </w:rPr>
        <w:t>orjinali</w:t>
      </w:r>
      <w:proofErr w:type="spellEnd"/>
      <w:r w:rsidR="00BD0D0C">
        <w:rPr>
          <w:rFonts w:ascii="Times New Roman" w:hAnsi="Times New Roman" w:cs="Times New Roman"/>
          <w:sz w:val="24"/>
          <w:szCs w:val="24"/>
        </w:rPr>
        <w:t xml:space="preserve"> ve </w:t>
      </w:r>
      <w:r w:rsidRPr="00E622EB">
        <w:rPr>
          <w:rFonts w:ascii="Times New Roman" w:hAnsi="Times New Roman" w:cs="Times New Roman"/>
          <w:sz w:val="24"/>
          <w:szCs w:val="24"/>
        </w:rPr>
        <w:t xml:space="preserve">gayri resmi Türkçe tercümesi ekte </w:t>
      </w:r>
      <w:r>
        <w:rPr>
          <w:rFonts w:ascii="Times New Roman" w:hAnsi="Times New Roman" w:cs="Times New Roman"/>
          <w:sz w:val="24"/>
          <w:szCs w:val="24"/>
        </w:rPr>
        <w:t>yer almaktadır. (Ek:</w:t>
      </w:r>
      <w:r w:rsidR="00BD0D0C">
        <w:rPr>
          <w:rFonts w:ascii="Times New Roman" w:hAnsi="Times New Roman" w:cs="Times New Roman"/>
          <w:sz w:val="24"/>
          <w:szCs w:val="24"/>
        </w:rPr>
        <w:t>1, 2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22EB" w:rsidRDefault="00E622EB" w:rsidP="00884EF5">
      <w:pPr>
        <w:rPr>
          <w:rFonts w:ascii="Times New Roman" w:hAnsi="Times New Roman" w:cs="Times New Roman"/>
          <w:sz w:val="24"/>
          <w:szCs w:val="24"/>
        </w:rPr>
      </w:pPr>
      <w:r w:rsidRPr="00E622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611C" w:rsidRDefault="00E622EB" w:rsidP="00884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Ülkemiz ile ÇHC arasında herhangi bir STA bulunmadığından ülkemiz ürünlerinin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ÇHC’ne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ihracatında MFN oranları uygulanacaktır.</w:t>
      </w:r>
      <w:r w:rsidR="000F5D7E">
        <w:rPr>
          <w:rFonts w:ascii="Times New Roman" w:hAnsi="Times New Roman" w:cs="Times New Roman"/>
          <w:sz w:val="24"/>
          <w:szCs w:val="24"/>
        </w:rPr>
        <w:t xml:space="preserve"> </w:t>
      </w:r>
      <w:r w:rsidR="000F5D7E" w:rsidRPr="000F5D7E">
        <w:rPr>
          <w:rFonts w:ascii="Times New Roman" w:hAnsi="Times New Roman" w:cs="Times New Roman"/>
          <w:sz w:val="24"/>
          <w:szCs w:val="24"/>
        </w:rPr>
        <w:t xml:space="preserve">Ülkemiz ihraç ürünlerinin </w:t>
      </w:r>
      <w:proofErr w:type="spellStart"/>
      <w:r w:rsidR="000F5D7E" w:rsidRPr="000F5D7E">
        <w:rPr>
          <w:rFonts w:ascii="Times New Roman" w:hAnsi="Times New Roman" w:cs="Times New Roman"/>
          <w:sz w:val="24"/>
          <w:szCs w:val="24"/>
        </w:rPr>
        <w:t>ÇHC'ne</w:t>
      </w:r>
      <w:proofErr w:type="spellEnd"/>
      <w:r w:rsidR="000F5D7E" w:rsidRPr="000F5D7E">
        <w:rPr>
          <w:rFonts w:ascii="Times New Roman" w:hAnsi="Times New Roman" w:cs="Times New Roman"/>
          <w:sz w:val="24"/>
          <w:szCs w:val="24"/>
        </w:rPr>
        <w:t xml:space="preserve"> ihraç edilmesi halinde tabi olacağı MFN ithalat vergi oranlarında 2025 yılı için </w:t>
      </w:r>
      <w:r w:rsidR="00824990">
        <w:rPr>
          <w:rFonts w:ascii="Times New Roman" w:hAnsi="Times New Roman" w:cs="Times New Roman"/>
          <w:sz w:val="24"/>
          <w:szCs w:val="24"/>
        </w:rPr>
        <w:t>Ek-2</w:t>
      </w:r>
      <w:r w:rsidR="000F5D7E">
        <w:rPr>
          <w:rFonts w:ascii="Times New Roman" w:hAnsi="Times New Roman" w:cs="Times New Roman"/>
          <w:sz w:val="24"/>
          <w:szCs w:val="24"/>
        </w:rPr>
        <w:t xml:space="preserve"> de yer alan </w:t>
      </w:r>
      <w:r w:rsidR="000F5D7E" w:rsidRPr="000F5D7E">
        <w:rPr>
          <w:rFonts w:ascii="Times New Roman" w:hAnsi="Times New Roman" w:cs="Times New Roman"/>
          <w:sz w:val="24"/>
          <w:szCs w:val="24"/>
        </w:rPr>
        <w:t xml:space="preserve">listede kayıtlı bulunan 935 adet ürün için indirimli ithalat gümrük vergi oranları geçerli olacaktır. </w:t>
      </w:r>
    </w:p>
    <w:p w:rsidR="0060611C" w:rsidRDefault="0060611C" w:rsidP="00884EF5">
      <w:pPr>
        <w:rPr>
          <w:rFonts w:ascii="Times New Roman" w:hAnsi="Times New Roman" w:cs="Times New Roman"/>
          <w:sz w:val="24"/>
          <w:szCs w:val="24"/>
        </w:rPr>
      </w:pPr>
    </w:p>
    <w:p w:rsid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Öte yandan herhangi bir ürüne uygulanacak olan ithalat gümrük vergisini aşağıda yer alan Çin Gümrükler Genel İdaresinin web sayfasından araştırmak mümkündür. </w:t>
      </w:r>
    </w:p>
    <w:p w:rsid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BD0D0C" w:rsidRDefault="00BD0D0C" w:rsidP="00BD0D0C">
      <w:pPr>
        <w:rPr>
          <w:color w:val="0000FF"/>
          <w:u w:val="single"/>
          <w:shd w:val="clear" w:color="auto" w:fill="FFFFFF"/>
        </w:rPr>
      </w:pPr>
      <w:hyperlink r:id="rId9" w:history="1">
        <w:r w:rsidRPr="003C0D4F">
          <w:rPr>
            <w:rStyle w:val="Kpr"/>
            <w:shd w:val="clear" w:color="auto" w:fill="FFFFFF"/>
          </w:rPr>
          <w:t>www.customs.gov.cn/customs/302427/302442/jckszcx/index.html</w:t>
        </w:r>
      </w:hyperlink>
    </w:p>
    <w:p w:rsid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BD0D0C" w:rsidRP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Mezkur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 sitesi sadece Çince olarak hizmet vermekte olup sayfada yer alan </w:t>
      </w:r>
      <w:r w:rsidRPr="00BD0D0C">
        <w:rPr>
          <w:rFonts w:ascii="Times New Roman" w:hAnsi="Times New Roman" w:cs="Times New Roman"/>
          <w:sz w:val="24"/>
          <w:szCs w:val="24"/>
        </w:rPr>
        <w:t xml:space="preserve">birinci sütun </w:t>
      </w:r>
      <w:r>
        <w:rPr>
          <w:rFonts w:ascii="Times New Roman" w:hAnsi="Times New Roman" w:cs="Times New Roman"/>
          <w:sz w:val="24"/>
          <w:szCs w:val="24"/>
        </w:rPr>
        <w:t>HS kodunu,</w:t>
      </w:r>
      <w:r w:rsidRPr="00BD0D0C">
        <w:rPr>
          <w:rFonts w:ascii="Times New Roman" w:hAnsi="Times New Roman" w:cs="Times New Roman"/>
          <w:sz w:val="24"/>
          <w:szCs w:val="24"/>
        </w:rPr>
        <w:t xml:space="preserve"> ikinci sütun ürünün Çince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D0C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BD0D0C">
        <w:rPr>
          <w:rFonts w:ascii="Times New Roman" w:hAnsi="Times New Roman" w:cs="Times New Roman"/>
          <w:sz w:val="24"/>
          <w:szCs w:val="24"/>
        </w:rPr>
        <w:t>; üçüncü sütun MFN oranı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BD0D0C">
        <w:rPr>
          <w:rFonts w:ascii="Times New Roman" w:hAnsi="Times New Roman" w:cs="Times New Roman"/>
          <w:sz w:val="24"/>
          <w:szCs w:val="24"/>
        </w:rPr>
        <w:t>; dördün</w:t>
      </w:r>
      <w:r>
        <w:rPr>
          <w:rFonts w:ascii="Times New Roman" w:hAnsi="Times New Roman" w:cs="Times New Roman"/>
          <w:sz w:val="24"/>
          <w:szCs w:val="24"/>
        </w:rPr>
        <w:t xml:space="preserve">cü </w:t>
      </w:r>
      <w:r w:rsidRPr="00BD0D0C">
        <w:rPr>
          <w:rFonts w:ascii="Times New Roman" w:hAnsi="Times New Roman" w:cs="Times New Roman"/>
          <w:sz w:val="24"/>
          <w:szCs w:val="24"/>
        </w:rPr>
        <w:t>sütun gümrük vergisi genel, beşinci sütun ihracat vergisi, altıncı sütun geçici gümrük vergisi oranıdır.</w:t>
      </w:r>
      <w:r w:rsidR="00824990">
        <w:rPr>
          <w:rFonts w:ascii="Times New Roman" w:hAnsi="Times New Roman" w:cs="Times New Roman"/>
          <w:sz w:val="24"/>
          <w:szCs w:val="24"/>
        </w:rPr>
        <w:t xml:space="preserve"> </w:t>
      </w:r>
      <w:r w:rsidR="00824990" w:rsidRPr="00824990">
        <w:rPr>
          <w:rFonts w:ascii="Times New Roman" w:hAnsi="Times New Roman" w:cs="Times New Roman"/>
          <w:sz w:val="24"/>
          <w:szCs w:val="24"/>
        </w:rPr>
        <w:t xml:space="preserve">Söz konusu sayfadaki sol sütuna ilgili </w:t>
      </w:r>
      <w:r w:rsidR="00824990">
        <w:rPr>
          <w:rFonts w:ascii="Times New Roman" w:hAnsi="Times New Roman" w:cs="Times New Roman"/>
          <w:sz w:val="24"/>
          <w:szCs w:val="24"/>
        </w:rPr>
        <w:t xml:space="preserve">HS kodu </w:t>
      </w:r>
      <w:r w:rsidR="00824990" w:rsidRPr="00824990">
        <w:rPr>
          <w:rFonts w:ascii="Times New Roman" w:hAnsi="Times New Roman" w:cs="Times New Roman"/>
          <w:sz w:val="24"/>
          <w:szCs w:val="24"/>
        </w:rPr>
        <w:t>yaz</w:t>
      </w:r>
      <w:r w:rsidR="00824990">
        <w:rPr>
          <w:rFonts w:ascii="Times New Roman" w:hAnsi="Times New Roman" w:cs="Times New Roman"/>
          <w:sz w:val="24"/>
          <w:szCs w:val="24"/>
        </w:rPr>
        <w:t xml:space="preserve">ılarak uygulanacak olan ithalat </w:t>
      </w:r>
      <w:r w:rsidR="00824990" w:rsidRPr="00824990">
        <w:rPr>
          <w:rFonts w:ascii="Times New Roman" w:hAnsi="Times New Roman" w:cs="Times New Roman"/>
          <w:sz w:val="24"/>
          <w:szCs w:val="24"/>
        </w:rPr>
        <w:t>gümrük vergilerine ulaşabilirsiniz.</w:t>
      </w:r>
    </w:p>
    <w:p w:rsidR="00BD0D0C" w:rsidRP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BD0D0C" w:rsidRP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  <w:r w:rsidRPr="00BD0D0C">
        <w:rPr>
          <w:rFonts w:ascii="Times New Roman" w:hAnsi="Times New Roman" w:cs="Times New Roman"/>
          <w:sz w:val="24"/>
          <w:szCs w:val="24"/>
        </w:rPr>
        <w:t xml:space="preserve">Ülkemiz ile ÇHC arasında herhangi bir tercihli ticaret düzenlemesi olmadığından, ÇHC tarafından ülkemize üçüncü sütunda yer alan MFN vergi oranları uygulanmaktadır. </w:t>
      </w:r>
    </w:p>
    <w:p w:rsidR="00BD0D0C" w:rsidRPr="00BD0D0C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824990" w:rsidRDefault="00BD0D0C" w:rsidP="00BD0D0C">
      <w:pPr>
        <w:rPr>
          <w:rFonts w:ascii="Times New Roman" w:hAnsi="Times New Roman" w:cs="Times New Roman"/>
          <w:sz w:val="24"/>
          <w:szCs w:val="24"/>
        </w:rPr>
      </w:pPr>
      <w:r w:rsidRPr="00BD0D0C">
        <w:rPr>
          <w:rFonts w:ascii="Times New Roman" w:hAnsi="Times New Roman" w:cs="Times New Roman"/>
          <w:sz w:val="24"/>
          <w:szCs w:val="24"/>
        </w:rPr>
        <w:t>Son sütundaki geçici gümrük vergisi oranında bir oran yer alması halinde; bu oran uygulanacaktır.</w:t>
      </w:r>
      <w:r w:rsidR="007878E1">
        <w:rPr>
          <w:rFonts w:ascii="Times New Roman" w:hAnsi="Times New Roman" w:cs="Times New Roman"/>
          <w:sz w:val="24"/>
          <w:szCs w:val="24"/>
        </w:rPr>
        <w:t xml:space="preserve"> Ancak site sürekli olarak güncellenmediğinden geçici vergi oranları için yukarıda paylaştığımız geçici ithalat gümrük vergisi oranları listesinden</w:t>
      </w:r>
      <w:r w:rsidR="00824990">
        <w:rPr>
          <w:rFonts w:ascii="Times New Roman" w:hAnsi="Times New Roman" w:cs="Times New Roman"/>
          <w:sz w:val="24"/>
          <w:szCs w:val="24"/>
        </w:rPr>
        <w:t xml:space="preserve"> (Ek-2)</w:t>
      </w:r>
      <w:r w:rsidR="007878E1">
        <w:rPr>
          <w:rFonts w:ascii="Times New Roman" w:hAnsi="Times New Roman" w:cs="Times New Roman"/>
          <w:sz w:val="24"/>
          <w:szCs w:val="24"/>
        </w:rPr>
        <w:t xml:space="preserve"> </w:t>
      </w:r>
      <w:r w:rsidR="00824990">
        <w:rPr>
          <w:rFonts w:ascii="Times New Roman" w:hAnsi="Times New Roman" w:cs="Times New Roman"/>
          <w:sz w:val="24"/>
          <w:szCs w:val="24"/>
        </w:rPr>
        <w:t xml:space="preserve">ayrıca </w:t>
      </w:r>
      <w:r w:rsidR="007878E1">
        <w:rPr>
          <w:rFonts w:ascii="Times New Roman" w:hAnsi="Times New Roman" w:cs="Times New Roman"/>
          <w:sz w:val="24"/>
          <w:szCs w:val="24"/>
        </w:rPr>
        <w:t xml:space="preserve">kontrol edilmesinde fayda bulunmaktadır. </w:t>
      </w:r>
    </w:p>
    <w:p w:rsidR="00824990" w:rsidRDefault="00824990" w:rsidP="00BD0D0C">
      <w:pPr>
        <w:rPr>
          <w:rFonts w:ascii="Times New Roman" w:hAnsi="Times New Roman" w:cs="Times New Roman"/>
          <w:sz w:val="24"/>
          <w:szCs w:val="24"/>
        </w:rPr>
      </w:pPr>
    </w:p>
    <w:p w:rsidR="00BD0D0C" w:rsidRPr="00BD0D0C" w:rsidRDefault="007878E1" w:rsidP="00BD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990" w:rsidRDefault="00824990" w:rsidP="00824990">
      <w:pPr>
        <w:pStyle w:val="Balk1"/>
      </w:pPr>
      <w:bookmarkStart w:id="2" w:name="_Toc187142816"/>
      <w:r>
        <w:lastRenderedPageBreak/>
        <w:t>2</w:t>
      </w:r>
      <w:r>
        <w:t>.ÇHC İ</w:t>
      </w:r>
      <w:r>
        <w:t xml:space="preserve">hracat </w:t>
      </w:r>
      <w:r>
        <w:t>Vergisi:</w:t>
      </w:r>
      <w:bookmarkEnd w:id="2"/>
      <w:r>
        <w:t xml:space="preserve"> </w:t>
      </w:r>
    </w:p>
    <w:p w:rsidR="00824990" w:rsidRDefault="00824990" w:rsidP="00824990"/>
    <w:p w:rsidR="00293AC0" w:rsidRDefault="00293AC0" w:rsidP="00824990">
      <w:r w:rsidRPr="00293AC0">
        <w:t xml:space="preserve">Çin Devlet Konseyi Tarife Komisyonu’nun 12 sayılı, 26 Aralık 2024 tarihli duyurusuna göre 1 Ocak 2025 tarihinden itibaren </w:t>
      </w:r>
      <w:proofErr w:type="spellStart"/>
      <w:r w:rsidRPr="00293AC0">
        <w:t>ÇHC’nden</w:t>
      </w:r>
      <w:proofErr w:type="spellEnd"/>
      <w:r w:rsidRPr="00293AC0">
        <w:t xml:space="preserve"> gerçekleştirilecek olan ihracatlarda ekli listede kayıtlı bulunan 107 ürün için öngörülen ihracat vergisi ve indirimli geçici ihracat vergisi oranları uygulanacaktır. </w:t>
      </w:r>
    </w:p>
    <w:p w:rsidR="00293AC0" w:rsidRDefault="00293AC0" w:rsidP="00824990"/>
    <w:p w:rsidR="00293AC0" w:rsidRDefault="00293AC0" w:rsidP="00824990">
      <w:proofErr w:type="gramStart"/>
      <w:r>
        <w:t>Me</w:t>
      </w:r>
      <w:r w:rsidRPr="00293AC0">
        <w:t>zkur</w:t>
      </w:r>
      <w:proofErr w:type="gramEnd"/>
      <w:r w:rsidRPr="00293AC0">
        <w:t xml:space="preserve"> açıklama ve eklerine</w:t>
      </w:r>
      <w:r>
        <w:t xml:space="preserve"> </w:t>
      </w:r>
      <w:hyperlink r:id="rId10" w:history="1">
        <w:r w:rsidRPr="003C0D4F">
          <w:rPr>
            <w:rStyle w:val="Kpr"/>
          </w:rPr>
          <w:t>https://www.gov.cn/zhengce/zhengceku/202412/content_6995067.htm</w:t>
        </w:r>
      </w:hyperlink>
      <w:r>
        <w:t xml:space="preserve"> </w:t>
      </w:r>
      <w:r w:rsidRPr="00293AC0">
        <w:t xml:space="preserve">  resmi internet adresinden erişilebilmektedir. </w:t>
      </w:r>
    </w:p>
    <w:p w:rsidR="00293AC0" w:rsidRDefault="00293AC0" w:rsidP="00824990"/>
    <w:p w:rsidR="00293AC0" w:rsidRDefault="00293AC0" w:rsidP="00824990">
      <w:r w:rsidRPr="00293AC0">
        <w:t>2025 yılı için</w:t>
      </w:r>
      <w:r w:rsidRPr="00293AC0">
        <w:t xml:space="preserve"> </w:t>
      </w:r>
      <w:r>
        <w:t xml:space="preserve">uygulanacak olan </w:t>
      </w:r>
      <w:r w:rsidRPr="00293AC0">
        <w:t>İhracat Vergisi oranları</w:t>
      </w:r>
      <w:r>
        <w:t xml:space="preserve"> ve </w:t>
      </w:r>
      <w:r w:rsidRPr="00293AC0">
        <w:t>geçerli indirimli ihracat vergisi oranları</w:t>
      </w:r>
      <w:r>
        <w:t xml:space="preserve"> ile söz konusu </w:t>
      </w:r>
      <w:r w:rsidRPr="00293AC0">
        <w:t>listenin gayri resmi Türkçe tercümesi ekte</w:t>
      </w:r>
      <w:r>
        <w:t xml:space="preserve"> yer almaktadır. (Ek:3,4) </w:t>
      </w:r>
    </w:p>
    <w:p w:rsidR="00824990" w:rsidRPr="00824990" w:rsidRDefault="00293AC0" w:rsidP="00824990">
      <w:r w:rsidRPr="00293AC0">
        <w:t xml:space="preserve">  </w:t>
      </w:r>
    </w:p>
    <w:p w:rsidR="00BD0D0C" w:rsidRDefault="00A250F4" w:rsidP="00A250F4">
      <w:pPr>
        <w:pStyle w:val="Balk1"/>
      </w:pPr>
      <w:bookmarkStart w:id="3" w:name="_Toc187142817"/>
      <w:r>
        <w:t>3</w:t>
      </w:r>
      <w:r>
        <w:t xml:space="preserve">.ÇHC </w:t>
      </w:r>
      <w:r>
        <w:t>Tercihli Tarife Uygulamaları:</w:t>
      </w:r>
      <w:bookmarkEnd w:id="3"/>
    </w:p>
    <w:p w:rsidR="00414D23" w:rsidRPr="00414D23" w:rsidRDefault="00414D23" w:rsidP="00414D23"/>
    <w:p w:rsidR="00414D23" w:rsidRDefault="00A250F4" w:rsidP="00A250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50F4">
        <w:rPr>
          <w:rFonts w:ascii="Times New Roman" w:hAnsi="Times New Roman" w:cs="Times New Roman"/>
          <w:sz w:val="24"/>
          <w:szCs w:val="24"/>
        </w:rPr>
        <w:t>ÇHC'nin</w:t>
      </w:r>
      <w:proofErr w:type="spellEnd"/>
      <w:r w:rsidRPr="00A250F4">
        <w:rPr>
          <w:rFonts w:ascii="Times New Roman" w:hAnsi="Times New Roman" w:cs="Times New Roman"/>
          <w:sz w:val="24"/>
          <w:szCs w:val="24"/>
        </w:rPr>
        <w:t xml:space="preserve"> 2025 yılı için</w:t>
      </w:r>
      <w:r w:rsidR="00414D23">
        <w:rPr>
          <w:rFonts w:ascii="Times New Roman" w:hAnsi="Times New Roman" w:cs="Times New Roman"/>
          <w:sz w:val="24"/>
          <w:szCs w:val="24"/>
        </w:rPr>
        <w:t xml:space="preserve"> STA veya tercihli tarife uygulayacağı ülke ve ürünleri gösteren tablo ekte yer almaktadır (Ek:5,6).</w:t>
      </w:r>
    </w:p>
    <w:p w:rsidR="00BD0D0C" w:rsidRPr="00A250F4" w:rsidRDefault="00414D23" w:rsidP="00A25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0D0C" w:rsidRPr="00A250F4" w:rsidSect="00DB6275">
      <w:headerReference w:type="default" r:id="rId11"/>
      <w:footerReference w:type="default" r:id="rId12"/>
      <w:pgSz w:w="11906" w:h="16838"/>
      <w:pgMar w:top="1440" w:right="849" w:bottom="1440" w:left="1800" w:header="14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5E" w:rsidRDefault="006E195E" w:rsidP="00C21B69">
      <w:r>
        <w:separator/>
      </w:r>
    </w:p>
  </w:endnote>
  <w:endnote w:type="continuationSeparator" w:id="0">
    <w:p w:rsidR="006E195E" w:rsidRDefault="006E195E" w:rsidP="00C2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EB" w:rsidRDefault="00E622EB" w:rsidP="00AB323B">
    <w:pPr>
      <w:pStyle w:val="stBilgi"/>
      <w:jc w:val="center"/>
      <w:rPr>
        <w:rFonts w:ascii="Times New Roman" w:hAnsi="Times New Roman" w:cs="Times New Roman"/>
        <w:i/>
        <w:color w:val="000000" w:themeColor="text1"/>
        <w:sz w:val="22"/>
      </w:rPr>
    </w:pPr>
  </w:p>
  <w:p w:rsidR="00E622EB" w:rsidRDefault="00E622EB" w:rsidP="00AB323B">
    <w:pPr>
      <w:pStyle w:val="stBilgi"/>
      <w:jc w:val="center"/>
      <w:rPr>
        <w:rFonts w:ascii="Times New Roman" w:hAnsi="Times New Roman" w:cs="Times New Roman"/>
        <w:b/>
        <w:bCs/>
        <w:i/>
        <w:color w:val="000000" w:themeColor="text1"/>
        <w:sz w:val="22"/>
      </w:rPr>
    </w:pPr>
    <w:r w:rsidRPr="00E01276">
      <w:rPr>
        <w:rFonts w:ascii="Times New Roman" w:hAnsi="Times New Roman" w:cs="Times New Roman"/>
        <w:i/>
        <w:color w:val="000000" w:themeColor="text1"/>
        <w:sz w:val="22"/>
      </w:rPr>
      <w:t xml:space="preserve">Sayfa </w:t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fldChar w:fldCharType="begin"/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instrText>PAGE  \* Arabic  \* MERGEFORMAT</w:instrText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fldChar w:fldCharType="separate"/>
    </w:r>
    <w:r w:rsidR="007548B0">
      <w:rPr>
        <w:rFonts w:ascii="Times New Roman" w:hAnsi="Times New Roman" w:cs="Times New Roman"/>
        <w:b/>
        <w:bCs/>
        <w:i/>
        <w:noProof/>
        <w:color w:val="000000" w:themeColor="text1"/>
        <w:sz w:val="22"/>
      </w:rPr>
      <w:t>3</w:t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fldChar w:fldCharType="end"/>
    </w:r>
    <w:r w:rsidRPr="00E01276">
      <w:rPr>
        <w:rFonts w:ascii="Times New Roman" w:hAnsi="Times New Roman" w:cs="Times New Roman"/>
        <w:i/>
        <w:color w:val="000000" w:themeColor="text1"/>
        <w:sz w:val="22"/>
      </w:rPr>
      <w:t xml:space="preserve"> / </w:t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fldChar w:fldCharType="begin"/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instrText>NUMPAGES  \* Arabic  \* MERGEFORMAT</w:instrText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fldChar w:fldCharType="separate"/>
    </w:r>
    <w:r w:rsidR="007548B0">
      <w:rPr>
        <w:rFonts w:ascii="Times New Roman" w:hAnsi="Times New Roman" w:cs="Times New Roman"/>
        <w:b/>
        <w:bCs/>
        <w:i/>
        <w:noProof/>
        <w:color w:val="000000" w:themeColor="text1"/>
        <w:sz w:val="22"/>
      </w:rPr>
      <w:t>3</w:t>
    </w:r>
    <w:r w:rsidRPr="00E01276">
      <w:rPr>
        <w:rFonts w:ascii="Times New Roman" w:hAnsi="Times New Roman" w:cs="Times New Roman"/>
        <w:b/>
        <w:bCs/>
        <w:i/>
        <w:color w:val="000000" w:themeColor="text1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5E" w:rsidRDefault="006E195E" w:rsidP="00C21B69">
      <w:r>
        <w:separator/>
      </w:r>
    </w:p>
  </w:footnote>
  <w:footnote w:type="continuationSeparator" w:id="0">
    <w:p w:rsidR="006E195E" w:rsidRDefault="006E195E" w:rsidP="00C2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EB" w:rsidRDefault="00E622EB" w:rsidP="00DB6275">
    <w:pPr>
      <w:pStyle w:val="stBilgi"/>
      <w:ind w:left="-1701"/>
      <w:jc w:val="right"/>
      <w:rPr>
        <w:rFonts w:ascii="Times New Roman" w:hAnsi="Times New Roman" w:cs="Times New Roman"/>
        <w:i/>
        <w:color w:val="000000" w:themeColor="text1"/>
        <w:sz w:val="22"/>
      </w:rPr>
    </w:pPr>
    <w:r w:rsidRPr="00DB6275">
      <w:rPr>
        <w:rFonts w:ascii="Times New Roman" w:hAnsi="Times New Roman" w:cs="Times New Roman"/>
        <w:i/>
        <w:noProof/>
        <w:sz w:val="22"/>
      </w:rPr>
      <w:drawing>
        <wp:inline distT="0" distB="0" distL="0" distR="0" wp14:anchorId="1ABC3C0C" wp14:editId="42585640">
          <wp:extent cx="806450" cy="736600"/>
          <wp:effectExtent l="0" t="0" r="0" b="6350"/>
          <wp:docPr id="15" name="Resim 15" descr="D:\1 PEKİN TİCARET MÜŞAVİRLİĞİ\4 Sunumlar\SUNUM LOGOLAR\2019 Ticaret Bakanligi LOGO ingilizce Turkce\384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 PEKİN TİCARET MÜŞAVİRLİĞİ\4 Sunumlar\SUNUM LOGOLAR\2019 Ticaret Bakanligi LOGO ingilizce Turkce\384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sz w:val="22"/>
      </w:rPr>
      <w:tab/>
    </w:r>
    <w:r>
      <w:rPr>
        <w:rFonts w:ascii="Times New Roman" w:hAnsi="Times New Roman" w:cs="Times New Roman"/>
        <w:i/>
        <w:sz w:val="22"/>
      </w:rPr>
      <w:tab/>
    </w:r>
    <w:r w:rsidRPr="00E01276">
      <w:rPr>
        <w:rFonts w:ascii="Times New Roman" w:hAnsi="Times New Roman" w:cs="Times New Roman"/>
        <w:i/>
        <w:color w:val="000000" w:themeColor="text1"/>
        <w:sz w:val="22"/>
      </w:rPr>
      <w:t xml:space="preserve">                Pekin Ticaret Müşavirliği</w:t>
    </w:r>
  </w:p>
  <w:p w:rsidR="00E622EB" w:rsidRPr="00E01276" w:rsidRDefault="00E622EB" w:rsidP="00AB323B">
    <w:pPr>
      <w:pStyle w:val="stBilgi"/>
      <w:jc w:val="center"/>
      <w:rPr>
        <w:rFonts w:ascii="Times New Roman" w:hAnsi="Times New Roman" w:cs="Times New Roman"/>
        <w:i/>
        <w:color w:val="000000" w:themeColor="text1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1A1"/>
    <w:multiLevelType w:val="hybridMultilevel"/>
    <w:tmpl w:val="5DA03CE4"/>
    <w:lvl w:ilvl="0" w:tplc="FCDC5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9D131A"/>
    <w:multiLevelType w:val="hybridMultilevel"/>
    <w:tmpl w:val="5DB8B8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F3878"/>
    <w:multiLevelType w:val="hybridMultilevel"/>
    <w:tmpl w:val="04A6C3BE"/>
    <w:lvl w:ilvl="0" w:tplc="FCDC5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A50946"/>
    <w:multiLevelType w:val="hybridMultilevel"/>
    <w:tmpl w:val="C6BA6DA2"/>
    <w:lvl w:ilvl="0" w:tplc="C82A8BA6">
      <w:start w:val="202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DB4118"/>
    <w:multiLevelType w:val="hybridMultilevel"/>
    <w:tmpl w:val="EDE4C3EC"/>
    <w:lvl w:ilvl="0" w:tplc="F49A6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0B04E5"/>
    <w:multiLevelType w:val="hybridMultilevel"/>
    <w:tmpl w:val="EF46DA22"/>
    <w:lvl w:ilvl="0" w:tplc="C82A8BA6">
      <w:start w:val="202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F10B6B"/>
    <w:multiLevelType w:val="hybridMultilevel"/>
    <w:tmpl w:val="69BE32FA"/>
    <w:lvl w:ilvl="0" w:tplc="C82A8BA6">
      <w:start w:val="202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FF"/>
    <w:rsid w:val="00002FCC"/>
    <w:rsid w:val="000237AA"/>
    <w:rsid w:val="00070237"/>
    <w:rsid w:val="00075C6E"/>
    <w:rsid w:val="000F5D7E"/>
    <w:rsid w:val="001B659D"/>
    <w:rsid w:val="001D2BC6"/>
    <w:rsid w:val="00223B68"/>
    <w:rsid w:val="00293AC0"/>
    <w:rsid w:val="00296396"/>
    <w:rsid w:val="002C3EB6"/>
    <w:rsid w:val="002F0CC8"/>
    <w:rsid w:val="00320EE3"/>
    <w:rsid w:val="00325DFF"/>
    <w:rsid w:val="00396865"/>
    <w:rsid w:val="003B7704"/>
    <w:rsid w:val="003B7D25"/>
    <w:rsid w:val="003D73C4"/>
    <w:rsid w:val="00414D23"/>
    <w:rsid w:val="004611A7"/>
    <w:rsid w:val="00490B1F"/>
    <w:rsid w:val="004A0097"/>
    <w:rsid w:val="004A0A32"/>
    <w:rsid w:val="00533087"/>
    <w:rsid w:val="0054118F"/>
    <w:rsid w:val="005B6E84"/>
    <w:rsid w:val="0060611C"/>
    <w:rsid w:val="006136CD"/>
    <w:rsid w:val="006154A0"/>
    <w:rsid w:val="00634362"/>
    <w:rsid w:val="006B0C8E"/>
    <w:rsid w:val="006E195E"/>
    <w:rsid w:val="006E63DD"/>
    <w:rsid w:val="00737282"/>
    <w:rsid w:val="007548B0"/>
    <w:rsid w:val="00770259"/>
    <w:rsid w:val="00786640"/>
    <w:rsid w:val="007878E1"/>
    <w:rsid w:val="007C4E76"/>
    <w:rsid w:val="00823637"/>
    <w:rsid w:val="00824990"/>
    <w:rsid w:val="00884EF5"/>
    <w:rsid w:val="008D2109"/>
    <w:rsid w:val="00901740"/>
    <w:rsid w:val="009B649E"/>
    <w:rsid w:val="009C6F47"/>
    <w:rsid w:val="009F7430"/>
    <w:rsid w:val="00A250F4"/>
    <w:rsid w:val="00A40878"/>
    <w:rsid w:val="00A84C26"/>
    <w:rsid w:val="00AB323B"/>
    <w:rsid w:val="00AE1AA4"/>
    <w:rsid w:val="00B0106B"/>
    <w:rsid w:val="00B662BD"/>
    <w:rsid w:val="00B67DD8"/>
    <w:rsid w:val="00BD0D0C"/>
    <w:rsid w:val="00C21B69"/>
    <w:rsid w:val="00C226A4"/>
    <w:rsid w:val="00D10D1E"/>
    <w:rsid w:val="00D375EC"/>
    <w:rsid w:val="00D51C1B"/>
    <w:rsid w:val="00DB6275"/>
    <w:rsid w:val="00DC54C2"/>
    <w:rsid w:val="00DF12D2"/>
    <w:rsid w:val="00E01276"/>
    <w:rsid w:val="00E106CC"/>
    <w:rsid w:val="00E622EB"/>
    <w:rsid w:val="00F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3CA12"/>
  <w15:docId w15:val="{A8EB4382-0BF8-4D65-A47F-D5BCB4BA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DFF"/>
    <w:pPr>
      <w:widowControl w:val="0"/>
      <w:jc w:val="both"/>
    </w:pPr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702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702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70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5DFF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25DFF"/>
    <w:pPr>
      <w:ind w:firstLineChars="200" w:firstLine="4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5DFF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FF"/>
    <w:rPr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533087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39"/>
    <w:rsid w:val="009C6F47"/>
    <w:rPr>
      <w:rFonts w:eastAsiaTheme="minorHAnsi"/>
      <w:kern w:val="0"/>
      <w:sz w:val="22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B1F"/>
    <w:pPr>
      <w:autoSpaceDE w:val="0"/>
      <w:autoSpaceDN w:val="0"/>
      <w:adjustRightInd w:val="0"/>
    </w:pPr>
    <w:rPr>
      <w:rFonts w:ascii="Book Antiqua" w:hAnsi="Book Antiqua" w:cs="Book Antiqua"/>
      <w:color w:val="000000"/>
      <w:kern w:val="0"/>
      <w:sz w:val="24"/>
      <w:szCs w:val="24"/>
      <w:lang w:val="tr-TR"/>
    </w:rPr>
  </w:style>
  <w:style w:type="character" w:customStyle="1" w:styleId="fontstyle21">
    <w:name w:val="fontstyle21"/>
    <w:basedOn w:val="VarsaylanParagrafYazTipi"/>
    <w:rsid w:val="007372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7702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770259"/>
    <w:pPr>
      <w:widowControl/>
      <w:spacing w:line="259" w:lineRule="auto"/>
      <w:jc w:val="left"/>
      <w:outlineLvl w:val="9"/>
    </w:pPr>
    <w:rPr>
      <w:kern w:val="0"/>
    </w:rPr>
  </w:style>
  <w:style w:type="character" w:styleId="YerTutucuMetni">
    <w:name w:val="Placeholder Text"/>
    <w:basedOn w:val="VarsaylanParagrafYazTipi"/>
    <w:uiPriority w:val="99"/>
    <w:semiHidden/>
    <w:rsid w:val="00770259"/>
    <w:rPr>
      <w:color w:val="808080"/>
    </w:rPr>
  </w:style>
  <w:style w:type="paragraph" w:styleId="KonuBal">
    <w:name w:val="Title"/>
    <w:basedOn w:val="Normal"/>
    <w:next w:val="Normal"/>
    <w:link w:val="KonuBalChar"/>
    <w:uiPriority w:val="10"/>
    <w:qFormat/>
    <w:rsid w:val="007702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25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7702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7702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21B69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21B69"/>
    <w:pPr>
      <w:spacing w:after="100"/>
      <w:ind w:left="210"/>
    </w:pPr>
  </w:style>
  <w:style w:type="paragraph" w:styleId="T3">
    <w:name w:val="toc 3"/>
    <w:basedOn w:val="Normal"/>
    <w:next w:val="Normal"/>
    <w:autoRedefine/>
    <w:uiPriority w:val="39"/>
    <w:unhideWhenUsed/>
    <w:rsid w:val="00C21B69"/>
    <w:pPr>
      <w:spacing w:after="100"/>
      <w:ind w:left="420"/>
    </w:pPr>
  </w:style>
  <w:style w:type="paragraph" w:styleId="stBilgi">
    <w:name w:val="header"/>
    <w:basedOn w:val="Normal"/>
    <w:link w:val="stBilgiChar"/>
    <w:uiPriority w:val="99"/>
    <w:unhideWhenUsed/>
    <w:rsid w:val="00C21B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1B6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1B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1B6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cn/zhengce/zhengceku/202412/content_6995067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cn/zhengce/zhengceku/202412/content_69950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stoms.gov.cn/customs/302427/302442/jckszcx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F67D-FA28-49BC-B5E4-1EA6BAFE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Pc1</cp:lastModifiedBy>
  <cp:revision>15</cp:revision>
  <cp:lastPrinted>2025-01-06T04:00:00Z</cp:lastPrinted>
  <dcterms:created xsi:type="dcterms:W3CDTF">2024-08-13T03:01:00Z</dcterms:created>
  <dcterms:modified xsi:type="dcterms:W3CDTF">2025-01-07T08:47:00Z</dcterms:modified>
</cp:coreProperties>
</file>