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B974A" w14:textId="77777777" w:rsidR="00847ABC" w:rsidRPr="00847ABC" w:rsidRDefault="00847ABC" w:rsidP="00847ABC">
      <w:r w:rsidRPr="00847ABC">
        <w:t>Bilindiği üzere, Bulgaristan?da, daha önce Bulgaristan?ı ziyaret eden yabancılar için hazırlanan davetiyelerin noter tasdiğinden geçmesi yeterliydi. Sofya Büyükelçiliğimizden öğrenildiği üzere, Bulgaristan yeni bir uygulamaya gitmiş, davetiyelerin noterin yanısıra, Bulgaristan Göç Ofisi tarafından da onaylanması koşulunu getirmiştir.</w:t>
      </w:r>
    </w:p>
    <w:p w14:paraId="11A7A609" w14:textId="77777777" w:rsidR="00847ABC" w:rsidRPr="00847ABC" w:rsidRDefault="00847ABC" w:rsidP="00847ABC">
      <w:r w:rsidRPr="00847ABC">
        <w:t> </w:t>
      </w:r>
    </w:p>
    <w:p w14:paraId="67996AED" w14:textId="77777777" w:rsidR="00847ABC" w:rsidRPr="00847ABC" w:rsidRDefault="00847ABC" w:rsidP="00847ABC">
      <w:r w:rsidRPr="00847ABC">
        <w:t>2. Bulgaristan?ı ziyaret edecek AB üyesi olmayan ülkelerin vatandaşlarına yönelik yeni tip davetiyeler, Bulgaristan İçişleri Bakanlığı?nın 10 Temmuz 2008 tarihli ?Vize Verilme ve Vize Rejimini Belirleme Yönetmeliği? ile uygulamaya geçirilmiş olup, yönetmeliğin davetiyelere ilişkin hükümlerinin </w:t>
      </w:r>
      <w:hyperlink r:id="rId4" w:history="1">
        <w:r w:rsidRPr="00847ABC">
          <w:rPr>
            <w:rStyle w:val="Hyperlink"/>
          </w:rPr>
          <w:t>Türkçe çevirisi</w:t>
        </w:r>
      </w:hyperlink>
      <w:r w:rsidRPr="00847ABC">
        <w:t> ekte yer almaktadır.</w:t>
      </w:r>
    </w:p>
    <w:p w14:paraId="03A80721" w14:textId="77777777" w:rsidR="00847ABC" w:rsidRPr="00847ABC" w:rsidRDefault="00847ABC" w:rsidP="00847ABC">
      <w:r w:rsidRPr="00847ABC">
        <w:t> </w:t>
      </w:r>
    </w:p>
    <w:p w14:paraId="60262838" w14:textId="77777777" w:rsidR="00847ABC" w:rsidRPr="00847ABC" w:rsidRDefault="00847ABC" w:rsidP="00847ABC">
      <w:r w:rsidRPr="00847ABC">
        <w:t>3. Yeni uygulamayla birlikte söz konusu davetiyeleri, davet eden gerçek/tüzel kişi tarafından merkezi Sofya?da bulunan İçişleri Bakanlığı?na bağlı Göç Ofisi veya Göç Ofisi?nin taşra teşkilatlarından temin edilerek doldurulması sonrasında, önce noter, akabinde de Göç Ofisi veya Göç Ofisi?nin yerel temsilcilikleri tarafından tasdik edilmesi gerekmektedir.</w:t>
      </w:r>
    </w:p>
    <w:p w14:paraId="32E1E521" w14:textId="77777777" w:rsidR="00847ABC" w:rsidRPr="00847ABC" w:rsidRDefault="00847ABC" w:rsidP="00847ABC">
      <w:r w:rsidRPr="00847ABC">
        <w:t> </w:t>
      </w:r>
    </w:p>
    <w:p w14:paraId="1F1FF556" w14:textId="77777777" w:rsidR="00847ABC" w:rsidRPr="00847ABC" w:rsidRDefault="00847ABC" w:rsidP="00847ABC">
      <w:r w:rsidRPr="00847ABC">
        <w:t>4. Yukarıda maruz yönetmelikle uygulamaya geçirilen davetiye tipleri şunlardır:</w:t>
      </w:r>
    </w:p>
    <w:p w14:paraId="2813AF9F" w14:textId="77777777" w:rsidR="00847ABC" w:rsidRPr="00847ABC" w:rsidRDefault="00847ABC" w:rsidP="00847ABC">
      <w:r w:rsidRPr="00847ABC">
        <w:t>- Gerçek kişiler tarafından hususi ziyaret için davet edilecek yabancılara yönelik davetiye,</w:t>
      </w:r>
    </w:p>
    <w:p w14:paraId="16453643" w14:textId="77777777" w:rsidR="00847ABC" w:rsidRPr="00847ABC" w:rsidRDefault="00847ABC" w:rsidP="00847ABC">
      <w:r w:rsidRPr="00847ABC">
        <w:t>- Ticaret Kanunu çerçevesinde, ticari faaliyetlerde bulunan gerçek/tüzel kişiler tarafından ticari amaçlı çağırılacak yabancılara yönelik davetiye,</w:t>
      </w:r>
    </w:p>
    <w:p w14:paraId="783F7776" w14:textId="77777777" w:rsidR="00847ABC" w:rsidRPr="00847ABC" w:rsidRDefault="00847ABC" w:rsidP="00847ABC">
      <w:r w:rsidRPr="00847ABC">
        <w:t>- İktisadi Amacı Olmayan Tüzel Kişiler Kanunu çerçevesinde faaliyette bulunan gerçek/tüzel kişilerin, faaliyetleri kapsamında davet edecekleri yabancılara yönelik davetiye,</w:t>
      </w:r>
    </w:p>
    <w:p w14:paraId="35D6E2E1" w14:textId="77777777" w:rsidR="00847ABC" w:rsidRPr="00847ABC" w:rsidRDefault="00847ABC" w:rsidP="00847ABC">
      <w:r w:rsidRPr="00847ABC">
        <w:t>- Yatırımların Teşvik Edilmesi Kanunu çerçevesinde, Bulgaristan?da kayıtlı yabancı tüzel kişi temsilciliği (Bulgaristan dışında kurulmuş şirketlerin Bulgaristan?daki temsilcilikleri) tarafından ticari amaçlı çağırılacak yabancılara yönelik davetiye</w:t>
      </w:r>
    </w:p>
    <w:p w14:paraId="0FCA92B4" w14:textId="77777777" w:rsidR="00847ABC" w:rsidRPr="00847ABC" w:rsidRDefault="00847ABC" w:rsidP="00847ABC">
      <w:r w:rsidRPr="00847ABC">
        <w:t> </w:t>
      </w:r>
    </w:p>
    <w:p w14:paraId="696AC95F" w14:textId="77777777" w:rsidR="00847ABC" w:rsidRPr="00847ABC" w:rsidRDefault="00847ABC" w:rsidP="00847ABC">
      <w:r w:rsidRPr="00847ABC">
        <w:t>5. Bulgar makamları, Bulgaristan Göç Ofisi veya yerel temsilcilikleri tarafından yapılacak tasdik işleminin, noter onayının alınması akabinde aynı gün içerisinde gerçekleştirileceğini ve davetiyelerde Göç Ofisi?nin onayı bulunmasının vize temini sürecinde kolaylaştırıcı etken olacağını kaydetmektedir.</w:t>
      </w:r>
    </w:p>
    <w:p w14:paraId="40BC3461" w14:textId="77777777" w:rsidR="00847ABC" w:rsidRPr="00847ABC" w:rsidRDefault="00847ABC" w:rsidP="00847ABC">
      <w:r w:rsidRPr="00847ABC">
        <w:t> </w:t>
      </w:r>
    </w:p>
    <w:p w14:paraId="0F32322D" w14:textId="77777777" w:rsidR="00847ABC" w:rsidRPr="00847ABC" w:rsidRDefault="00847ABC" w:rsidP="00847ABC">
      <w:r w:rsidRPr="00847ABC">
        <w:t>Aksi bir anlaşma ile belirlenmedikçe tüm yabancılar Bulgaristan’a girişleri ve burada ikamet etmek için vize temin etmek zorundadırlar.</w:t>
      </w:r>
    </w:p>
    <w:p w14:paraId="13BBA006" w14:textId="77777777" w:rsidR="00847ABC" w:rsidRPr="00847ABC" w:rsidRDefault="00847ABC" w:rsidP="00847ABC">
      <w:r w:rsidRPr="00847ABC">
        <w:t>Geçerli bir vize dahi Bulgaristan’a giriş garantisi vermeyebilir. Sınır kontrol görevlileri yabancının ülkeye kabulü için gerekli şa</w:t>
      </w:r>
      <w:bookmarkStart w:id="0" w:name="_GoBack"/>
      <w:bookmarkEnd w:id="0"/>
      <w:r w:rsidRPr="00847ABC">
        <w:t>rtlara sahip olup olmadığı konusunda nihai karar verme yetkisine sahiptir.</w:t>
      </w:r>
    </w:p>
    <w:p w14:paraId="1FF6B816" w14:textId="77777777" w:rsidR="00847ABC" w:rsidRPr="00847ABC" w:rsidRDefault="00847ABC" w:rsidP="00847ABC">
      <w:r w:rsidRPr="00847ABC">
        <w:t> </w:t>
      </w:r>
    </w:p>
    <w:p w14:paraId="5700D66B" w14:textId="77777777" w:rsidR="00847ABC" w:rsidRPr="00847ABC" w:rsidRDefault="00847ABC" w:rsidP="00847ABC">
      <w:r w:rsidRPr="00847ABC">
        <w:lastRenderedPageBreak/>
        <w:t>Yabancı Uyruklular Kanunu vize türlerini “transit vize, kısa süreli vize ve uzun süreli vize” olmak üzere üçe ayırmaktadır:</w:t>
      </w:r>
    </w:p>
    <w:p w14:paraId="562EAA13" w14:textId="77777777" w:rsidR="00847ABC" w:rsidRPr="00847ABC" w:rsidRDefault="00847ABC" w:rsidP="00847ABC">
      <w:r w:rsidRPr="00847ABC">
        <w:t> </w:t>
      </w:r>
    </w:p>
    <w:p w14:paraId="573F879F" w14:textId="77777777" w:rsidR="00847ABC" w:rsidRPr="00847ABC" w:rsidRDefault="00847ABC" w:rsidP="00847ABC">
      <w:r w:rsidRPr="00847ABC">
        <w:t>Transit vize 24 saat içinde Bulgaristan üzerinden başka bir ülkeye transit geçecek kişiler için gereken vize türüdür.</w:t>
      </w:r>
    </w:p>
    <w:p w14:paraId="3B42CE1B" w14:textId="77777777" w:rsidR="00847ABC" w:rsidRPr="00847ABC" w:rsidRDefault="00847ABC" w:rsidP="00847ABC">
      <w:r w:rsidRPr="00847ABC">
        <w:t> </w:t>
      </w:r>
    </w:p>
    <w:p w14:paraId="0CE9B881" w14:textId="77777777" w:rsidR="00847ABC" w:rsidRPr="00847ABC" w:rsidRDefault="00847ABC" w:rsidP="00847ABC">
      <w:r w:rsidRPr="00847ABC">
        <w:t>Kısa süreli vize bir yabancının altı aylık bir süre içinde toplamda 90 günden fazla kalmamak kaydıyla bir defalık veya çok sayıda giriş yapabilmesini sağlar.</w:t>
      </w:r>
    </w:p>
    <w:p w14:paraId="7D57E668" w14:textId="77777777" w:rsidR="00847ABC" w:rsidRPr="00847ABC" w:rsidRDefault="00847ABC" w:rsidP="00847ABC">
      <w:r w:rsidRPr="00847ABC">
        <w:t> </w:t>
      </w:r>
    </w:p>
    <w:p w14:paraId="302F10CE" w14:textId="77777777" w:rsidR="00847ABC" w:rsidRPr="00847ABC" w:rsidRDefault="00847ABC" w:rsidP="00847ABC">
      <w:r w:rsidRPr="00847ABC">
        <w:t>Uzun süreli vize yabancı uyruklunun Bulgaristan’a giriş yapıp sonrasında uzun süreli veya süresiz ikamet izni için başvurmasına el veren vize türüdür. Bu vizenin geçerliliği altı aydır ve sahibine 90 güne kadar oturum izni sağlar.</w:t>
      </w:r>
    </w:p>
    <w:p w14:paraId="18A46D67" w14:textId="77777777" w:rsidR="00847ABC" w:rsidRPr="00847ABC" w:rsidRDefault="00847ABC" w:rsidP="00847ABC">
      <w:r w:rsidRPr="00847ABC">
        <w:t> </w:t>
      </w:r>
    </w:p>
    <w:p w14:paraId="7705D597" w14:textId="77777777" w:rsidR="00847ABC" w:rsidRPr="00847ABC" w:rsidRDefault="00847ABC" w:rsidP="00847ABC">
      <w:r w:rsidRPr="00847ABC">
        <w:t>Tüm vize başvuruları ilgili bir Bulgar diplomatik misyonuna veya konsolosluğuna yapılmalıdır.</w:t>
      </w:r>
    </w:p>
    <w:p w14:paraId="35E00581" w14:textId="77777777" w:rsidR="00847ABC" w:rsidRPr="00847ABC" w:rsidRDefault="00847ABC" w:rsidP="00847ABC">
      <w:r w:rsidRPr="00847ABC">
        <w:t> </w:t>
      </w:r>
    </w:p>
    <w:p w14:paraId="6E40053F" w14:textId="77777777" w:rsidR="00847ABC" w:rsidRPr="00847ABC" w:rsidRDefault="00847ABC" w:rsidP="00847ABC">
      <w:r w:rsidRPr="00847ABC">
        <w:t>Vize Muafiyet Kuralları</w:t>
      </w:r>
    </w:p>
    <w:p w14:paraId="2916247E" w14:textId="77777777" w:rsidR="00847ABC" w:rsidRPr="00847ABC" w:rsidRDefault="00847ABC" w:rsidP="00847ABC">
      <w:r w:rsidRPr="00847ABC">
        <w:t>Bazı devletlerin vatandaşları Bulgaristan’a vize gerekmeksizin girebilmektedir. İrlanda ve İngiltere hariç AB üyesi devletlerin vatandaşları her bir altı aylık sürede 90 güne kadar sürecek kalışları için vizeye ihtiyaç duymazlar. Avustralya, Yeni Zelanda, Japonya, İrlanda, İngiltere, Kanada, ABD ile İsviçre vatandaşları ise kalışları her bir altı aylık dönemde 30 günü geçmemek kaydıyla vizeye tabi değildirler. Süreler ilgili kişinin Bulgaristan’a ilk girdiği ve pasaportuna işlenen tarihten itibaren başlar. </w:t>
      </w:r>
    </w:p>
    <w:p w14:paraId="2C16D750" w14:textId="77777777" w:rsidR="003F02CF" w:rsidRPr="00847ABC" w:rsidRDefault="00847ABC" w:rsidP="00847ABC"/>
    <w:sectPr w:rsidR="003F02CF" w:rsidRPr="00847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4A0"/>
    <w:rsid w:val="001F3947"/>
    <w:rsid w:val="004E04A0"/>
    <w:rsid w:val="00847ABC"/>
    <w:rsid w:val="00A07CBC"/>
    <w:rsid w:val="00F00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6592B-2DC4-4BD5-B824-C6230960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7A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767453">
      <w:bodyDiv w:val="1"/>
      <w:marLeft w:val="0"/>
      <w:marRight w:val="0"/>
      <w:marTop w:val="0"/>
      <w:marBottom w:val="0"/>
      <w:divBdr>
        <w:top w:val="none" w:sz="0" w:space="0" w:color="auto"/>
        <w:left w:val="none" w:sz="0" w:space="0" w:color="auto"/>
        <w:bottom w:val="none" w:sz="0" w:space="0" w:color="auto"/>
        <w:right w:val="none" w:sz="0" w:space="0" w:color="auto"/>
      </w:divBdr>
      <w:divsChild>
        <w:div w:id="2128773046">
          <w:marLeft w:val="0"/>
          <w:marRight w:val="0"/>
          <w:marTop w:val="0"/>
          <w:marBottom w:val="0"/>
          <w:divBdr>
            <w:top w:val="none" w:sz="0" w:space="0" w:color="auto"/>
            <w:left w:val="none" w:sz="0" w:space="0" w:color="auto"/>
            <w:bottom w:val="none" w:sz="0" w:space="0" w:color="auto"/>
            <w:right w:val="none" w:sz="0" w:space="0" w:color="auto"/>
          </w:divBdr>
        </w:div>
        <w:div w:id="109402178">
          <w:marLeft w:val="0"/>
          <w:marRight w:val="0"/>
          <w:marTop w:val="0"/>
          <w:marBottom w:val="0"/>
          <w:divBdr>
            <w:top w:val="none" w:sz="0" w:space="0" w:color="auto"/>
            <w:left w:val="none" w:sz="0" w:space="0" w:color="auto"/>
            <w:bottom w:val="none" w:sz="0" w:space="0" w:color="auto"/>
            <w:right w:val="none" w:sz="0" w:space="0" w:color="auto"/>
          </w:divBdr>
        </w:div>
        <w:div w:id="2051101789">
          <w:marLeft w:val="0"/>
          <w:marRight w:val="0"/>
          <w:marTop w:val="0"/>
          <w:marBottom w:val="0"/>
          <w:divBdr>
            <w:top w:val="none" w:sz="0" w:space="0" w:color="auto"/>
            <w:left w:val="none" w:sz="0" w:space="0" w:color="auto"/>
            <w:bottom w:val="none" w:sz="0" w:space="0" w:color="auto"/>
            <w:right w:val="none" w:sz="0" w:space="0" w:color="auto"/>
          </w:divBdr>
        </w:div>
        <w:div w:id="370958279">
          <w:marLeft w:val="0"/>
          <w:marRight w:val="0"/>
          <w:marTop w:val="0"/>
          <w:marBottom w:val="0"/>
          <w:divBdr>
            <w:top w:val="none" w:sz="0" w:space="0" w:color="auto"/>
            <w:left w:val="none" w:sz="0" w:space="0" w:color="auto"/>
            <w:bottom w:val="none" w:sz="0" w:space="0" w:color="auto"/>
            <w:right w:val="none" w:sz="0" w:space="0" w:color="auto"/>
          </w:divBdr>
        </w:div>
        <w:div w:id="145826918">
          <w:marLeft w:val="0"/>
          <w:marRight w:val="0"/>
          <w:marTop w:val="0"/>
          <w:marBottom w:val="0"/>
          <w:divBdr>
            <w:top w:val="none" w:sz="0" w:space="0" w:color="auto"/>
            <w:left w:val="none" w:sz="0" w:space="0" w:color="auto"/>
            <w:bottom w:val="none" w:sz="0" w:space="0" w:color="auto"/>
            <w:right w:val="none" w:sz="0" w:space="0" w:color="auto"/>
          </w:divBdr>
        </w:div>
        <w:div w:id="1865169344">
          <w:marLeft w:val="0"/>
          <w:marRight w:val="0"/>
          <w:marTop w:val="0"/>
          <w:marBottom w:val="0"/>
          <w:divBdr>
            <w:top w:val="none" w:sz="0" w:space="0" w:color="auto"/>
            <w:left w:val="none" w:sz="0" w:space="0" w:color="auto"/>
            <w:bottom w:val="none" w:sz="0" w:space="0" w:color="auto"/>
            <w:right w:val="none" w:sz="0" w:space="0" w:color="auto"/>
          </w:divBdr>
        </w:div>
        <w:div w:id="293365228">
          <w:marLeft w:val="0"/>
          <w:marRight w:val="0"/>
          <w:marTop w:val="0"/>
          <w:marBottom w:val="0"/>
          <w:divBdr>
            <w:top w:val="none" w:sz="0" w:space="0" w:color="auto"/>
            <w:left w:val="none" w:sz="0" w:space="0" w:color="auto"/>
            <w:bottom w:val="none" w:sz="0" w:space="0" w:color="auto"/>
            <w:right w:val="none" w:sz="0" w:space="0" w:color="auto"/>
          </w:divBdr>
        </w:div>
        <w:div w:id="984555111">
          <w:marLeft w:val="0"/>
          <w:marRight w:val="0"/>
          <w:marTop w:val="0"/>
          <w:marBottom w:val="0"/>
          <w:divBdr>
            <w:top w:val="none" w:sz="0" w:space="0" w:color="auto"/>
            <w:left w:val="none" w:sz="0" w:space="0" w:color="auto"/>
            <w:bottom w:val="none" w:sz="0" w:space="0" w:color="auto"/>
            <w:right w:val="none" w:sz="0" w:space="0" w:color="auto"/>
          </w:divBdr>
        </w:div>
        <w:div w:id="2014063590">
          <w:marLeft w:val="0"/>
          <w:marRight w:val="0"/>
          <w:marTop w:val="0"/>
          <w:marBottom w:val="0"/>
          <w:divBdr>
            <w:top w:val="none" w:sz="0" w:space="0" w:color="auto"/>
            <w:left w:val="none" w:sz="0" w:space="0" w:color="auto"/>
            <w:bottom w:val="none" w:sz="0" w:space="0" w:color="auto"/>
            <w:right w:val="none" w:sz="0" w:space="0" w:color="auto"/>
          </w:divBdr>
        </w:div>
        <w:div w:id="626548652">
          <w:marLeft w:val="0"/>
          <w:marRight w:val="0"/>
          <w:marTop w:val="0"/>
          <w:marBottom w:val="0"/>
          <w:divBdr>
            <w:top w:val="none" w:sz="0" w:space="0" w:color="auto"/>
            <w:left w:val="none" w:sz="0" w:space="0" w:color="auto"/>
            <w:bottom w:val="none" w:sz="0" w:space="0" w:color="auto"/>
            <w:right w:val="none" w:sz="0" w:space="0" w:color="auto"/>
          </w:divBdr>
        </w:div>
        <w:div w:id="162754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caret.gov.tr/upload/BG/bulgaristan%20vize%20proseduru%20temmuz20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Cihanoğlu</dc:creator>
  <cp:keywords/>
  <dc:description/>
  <cp:lastModifiedBy>Nihat Cihanoğlu</cp:lastModifiedBy>
  <cp:revision>2</cp:revision>
  <dcterms:created xsi:type="dcterms:W3CDTF">2018-09-02T09:26:00Z</dcterms:created>
  <dcterms:modified xsi:type="dcterms:W3CDTF">2018-09-02T09:26:00Z</dcterms:modified>
</cp:coreProperties>
</file>