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1F7CBB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proofErr w:type="spellStart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Sektörel</w:t>
            </w:r>
            <w:proofErr w:type="spellEnd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Ticaret Heyeti</w:t>
            </w:r>
          </w:p>
          <w:p w:rsidR="001F7CBB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  <w:r w:rsidR="001F7CBB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B31E7E" w:rsidRPr="00344AE5" w:rsidRDefault="00B31E7E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F64102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</w:t>
            </w:r>
            <w:r w:rsidR="00B31E7E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6C493D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13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9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AB5C7B">
        <w:trPr>
          <w:trHeight w:val="36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7"/>
        <w:gridCol w:w="1843"/>
        <w:gridCol w:w="850"/>
      </w:tblGrid>
      <w:tr w:rsidR="008A2AAB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A2AAB" w:rsidRPr="00D41848" w:rsidRDefault="005C4CA6" w:rsidP="00AB5C7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124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4CA6" w:rsidRDefault="005C4CA6" w:rsidP="005C4CA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30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643"/>
        </w:trPr>
        <w:tc>
          <w:tcPr>
            <w:tcW w:w="7513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AB5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/>
          </w:tcPr>
          <w:p w:rsidR="005C6A69" w:rsidRPr="00D41848" w:rsidRDefault="005C6A69" w:rsidP="00AB5C7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0513A8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513A8">
              <w:rPr>
                <w:rFonts w:asciiTheme="minorHAnsi" w:hAnsiTheme="minorHAnsi" w:cstheme="minorHAnsi"/>
                <w:color w:val="000000"/>
                <w:sz w:val="22"/>
              </w:rPr>
              <w:t>a)Görüşme gerçekleştirilen firma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0513A8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513A8">
              <w:rPr>
                <w:rFonts w:asciiTheme="minorHAnsi" w:hAnsiTheme="minorHAnsi" w:cstheme="minorHAnsi"/>
                <w:color w:val="000000"/>
                <w:sz w:val="22"/>
              </w:rPr>
              <w:t>b)Olumlu sonuçlanması beklenen firma görüşmesi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B5C7B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bookmarkStart w:id="0" w:name="_GoBack"/>
            <w:bookmarkEnd w:id="0"/>
            <w:r w:rsidR="0080000B" w:rsidRPr="00051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highlight w:val="yellow"/>
              </w:rPr>
              <w:t>Sektörel ticaret heyetini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AB5C7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885801">
        <w:trPr>
          <w:trHeight w:val="497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885801">
        <w:trPr>
          <w:trHeight w:val="447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D41848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7" w:rsidRDefault="00176DB7" w:rsidP="00994F03">
      <w:pPr>
        <w:spacing w:line="240" w:lineRule="auto"/>
      </w:pPr>
      <w:r>
        <w:separator/>
      </w:r>
    </w:p>
  </w:endnote>
  <w:endnote w:type="continuationSeparator" w:id="0">
    <w:p w:rsidR="00176DB7" w:rsidRDefault="00176DB7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7" w:rsidRDefault="00176DB7" w:rsidP="00994F03">
      <w:pPr>
        <w:spacing w:line="240" w:lineRule="auto"/>
      </w:pPr>
      <w:r>
        <w:separator/>
      </w:r>
    </w:p>
  </w:footnote>
  <w:footnote w:type="continuationSeparator" w:id="0">
    <w:p w:rsidR="00176DB7" w:rsidRDefault="00176DB7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513A8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6DB7"/>
    <w:rsid w:val="001778AC"/>
    <w:rsid w:val="001A18FE"/>
    <w:rsid w:val="001B28D9"/>
    <w:rsid w:val="001B5535"/>
    <w:rsid w:val="001D4AC7"/>
    <w:rsid w:val="001F3686"/>
    <w:rsid w:val="001F7CBB"/>
    <w:rsid w:val="002334BA"/>
    <w:rsid w:val="00264942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C493D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0000B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85801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0296E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B5C7B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95D88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E58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E9B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1DBA-AB08-4474-A8DB-E7BFFC70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İrem Ekmekci KONUK</cp:lastModifiedBy>
  <cp:revision>3</cp:revision>
  <cp:lastPrinted>2019-05-22T09:38:00Z</cp:lastPrinted>
  <dcterms:created xsi:type="dcterms:W3CDTF">2020-11-02T12:20:00Z</dcterms:created>
  <dcterms:modified xsi:type="dcterms:W3CDTF">2020-11-02T12:21:00Z</dcterms:modified>
</cp:coreProperties>
</file>