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6D" w:rsidRDefault="00AA5335" w:rsidP="00C5256D">
      <w:pPr>
        <w:jc w:val="center"/>
        <w:rPr>
          <w:rFonts w:ascii="Times New Roman" w:hAnsi="Times New Roman" w:cs="Times New Roman"/>
          <w:b/>
          <w:sz w:val="22"/>
          <w:szCs w:val="24"/>
        </w:rPr>
      </w:pPr>
      <w:bookmarkStart w:id="0" w:name="_GoBack"/>
      <w:bookmarkEnd w:id="0"/>
      <w:r w:rsidRPr="00C5256D">
        <w:rPr>
          <w:rFonts w:ascii="Times New Roman" w:hAnsi="Times New Roman" w:cs="Times New Roman"/>
          <w:b/>
          <w:sz w:val="22"/>
          <w:szCs w:val="24"/>
        </w:rPr>
        <w:t>KABUKLU KIRMIZI MERCİMEK</w:t>
      </w:r>
      <w:r w:rsidR="00E821CF" w:rsidRPr="00C5256D">
        <w:rPr>
          <w:rFonts w:ascii="Times New Roman" w:hAnsi="Times New Roman" w:cs="Times New Roman"/>
          <w:b/>
          <w:sz w:val="22"/>
          <w:szCs w:val="24"/>
        </w:rPr>
        <w:t xml:space="preserve"> ÜRÜNÜNE İLİŞKİN LİSANSLI DEPOLARDA UYGULANACAK </w:t>
      </w:r>
    </w:p>
    <w:p w:rsidR="00C5256D" w:rsidRPr="00C5256D" w:rsidRDefault="00E821CF" w:rsidP="00C5256D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5256D">
        <w:rPr>
          <w:rFonts w:ascii="Times New Roman" w:hAnsi="Times New Roman" w:cs="Times New Roman"/>
          <w:b/>
          <w:sz w:val="22"/>
          <w:szCs w:val="24"/>
        </w:rPr>
        <w:t>KALİTE KRİTERLERİ VE SINIFLANDIRMASI</w:t>
      </w:r>
    </w:p>
    <w:p w:rsidR="00C5256D" w:rsidRDefault="00C5256D">
      <w:pPr>
        <w:rPr>
          <w:rFonts w:ascii="Times New Roman" w:hAnsi="Times New Roman" w:cs="Times New Roman"/>
          <w:bCs/>
          <w:sz w:val="24"/>
          <w:szCs w:val="24"/>
        </w:rPr>
      </w:pPr>
    </w:p>
    <w:p w:rsidR="00C5256D" w:rsidRPr="00C5256D" w:rsidRDefault="00C525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83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177"/>
        <w:gridCol w:w="1913"/>
        <w:gridCol w:w="1471"/>
        <w:gridCol w:w="1472"/>
        <w:gridCol w:w="1618"/>
        <w:gridCol w:w="1920"/>
        <w:gridCol w:w="2455"/>
        <w:gridCol w:w="2258"/>
      </w:tblGrid>
      <w:tr w:rsidR="00C5256D" w:rsidRPr="00C5256D" w:rsidTr="00D5796A">
        <w:trPr>
          <w:trHeight w:val="2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Rutubet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Yabancı madde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 (gr)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Kalbur Altı Tane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 (gr)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Bozuk Tane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 (gr)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Kırık Tane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 (gr)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 xml:space="preserve">Kızışmış ve Çimlenmiş Tane  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 (gr)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Diğer Çeşitlerden Taneler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 (gr)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 xml:space="preserve">Kabuğu 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Soyulmuş Tane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% (gr)</w:t>
            </w: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en çok</w:t>
            </w:r>
          </w:p>
        </w:tc>
      </w:tr>
      <w:tr w:rsidR="00C5256D" w:rsidRPr="00C5256D" w:rsidTr="00C5256D">
        <w:trPr>
          <w:trHeight w:val="694"/>
        </w:trPr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56D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256D" w:rsidRPr="00C5256D" w:rsidTr="00D5796A">
        <w:trPr>
          <w:trHeight w:val="5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</w:p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0-2,00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0-2,00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0-3,00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0-2,00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0-0,50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0-3,00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0-2,00</w:t>
            </w:r>
          </w:p>
        </w:tc>
      </w:tr>
      <w:tr w:rsidR="00C5256D" w:rsidRPr="00C5256D" w:rsidTr="00D5796A">
        <w:trPr>
          <w:trHeight w:val="5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2,01-4,00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2,01-4,00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3,01-6,00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2,01-4,00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0,51-1,00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3,01-6,00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2,01-4,00</w:t>
            </w:r>
          </w:p>
        </w:tc>
      </w:tr>
      <w:tr w:rsidR="00C5256D" w:rsidRPr="00C5256D" w:rsidTr="00D5796A">
        <w:trPr>
          <w:trHeight w:val="5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4,01-6,00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4,01-5,00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6,01-10,00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4,01-6,00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1,01-1,50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6,01-10,00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6D" w:rsidRPr="00C5256D" w:rsidRDefault="00C5256D" w:rsidP="00D5796A">
            <w:pPr>
              <w:jc w:val="center"/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4,01-5,00</w:t>
            </w:r>
          </w:p>
        </w:tc>
      </w:tr>
      <w:tr w:rsidR="00C5256D" w:rsidRPr="00C5256D" w:rsidTr="00D5796A">
        <w:trPr>
          <w:trHeight w:val="230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D" w:rsidRPr="00C5256D" w:rsidRDefault="00C5256D" w:rsidP="00D5796A">
            <w:pPr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Not 1- Kabuklu kırmızı mercimekler kendine özgü renk ve kokuda olacak, yabancı tat ve/veya koku içermeyecektir.</w:t>
            </w:r>
          </w:p>
          <w:p w:rsidR="00C5256D" w:rsidRPr="00C5256D" w:rsidRDefault="00C5256D" w:rsidP="00D5796A">
            <w:pPr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Not 2- Kabuklu kırmızı mercimek içerisinde canlı haşere bulunmayacaktır.</w:t>
            </w:r>
          </w:p>
          <w:p w:rsidR="00C5256D" w:rsidRPr="00C5256D" w:rsidRDefault="00C5256D" w:rsidP="00D5796A">
            <w:pPr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Not 3- Yabancı madde içerisinde taş toprak gibi inorganik maddeler oranı toplam ürün ağırlığının %2,5’inden fazla olmayacaktır.</w:t>
            </w:r>
          </w:p>
          <w:p w:rsidR="00C5256D" w:rsidRPr="00C5256D" w:rsidRDefault="00C5256D" w:rsidP="00D5796A">
            <w:pPr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Not 4- Yabancı madde içerisindeki ölü böcek miktarı ağırlıkça %10’dan fazla olmayacaktır.</w:t>
            </w:r>
          </w:p>
          <w:p w:rsidR="00C5256D" w:rsidRPr="00C5256D" w:rsidRDefault="00C5256D" w:rsidP="00D5796A">
            <w:pPr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Not 5- Bozuk tane içerisinde değerlendirilen böcek emgisi nedeniyle oluşan tebeşir/beyaz taneye, analiz numunesi kabuk soyucu cihazda soyulduktan sonra kırmızı iç mercimekte bakılacaktır.</w:t>
            </w:r>
          </w:p>
          <w:p w:rsidR="00C5256D" w:rsidRPr="00C5256D" w:rsidRDefault="00C5256D" w:rsidP="00D5796A">
            <w:pPr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>Not 6- Kabuklu kırmızı mercimeklerde ambar zararlılarına yönelik olarak bir ilaçlama yapılmış ise mutlaka fümigasyon belgesi ibraz edilecektir.</w:t>
            </w:r>
          </w:p>
          <w:p w:rsidR="00C5256D" w:rsidRPr="00C5256D" w:rsidRDefault="00C5256D" w:rsidP="00D5796A">
            <w:pPr>
              <w:rPr>
                <w:rFonts w:ascii="Times New Roman" w:hAnsi="Times New Roman" w:cs="Times New Roman"/>
              </w:rPr>
            </w:pPr>
            <w:r w:rsidRPr="00C5256D">
              <w:rPr>
                <w:rFonts w:ascii="Times New Roman" w:hAnsi="Times New Roman" w:cs="Times New Roman"/>
              </w:rPr>
              <w:t xml:space="preserve">Not 7- Kabuklu kırmızı mercimeklerde numune alma ve analiz </w:t>
            </w:r>
            <w:r w:rsidRPr="00BC743F">
              <w:rPr>
                <w:rFonts w:ascii="Times New Roman" w:hAnsi="Times New Roman" w:cs="Times New Roman"/>
              </w:rPr>
              <w:t>işlemleri ekte yer alan “Kabuklu Kırmızı Mercimek Analiz Yöntemi”nde belirtildiği şekilde yapılacaktır. Ekte belirtilmeyen hususlarda TS 143 Mercimek Standardında belirtilen usul ve esaslar uygulanacaktır.</w:t>
            </w:r>
          </w:p>
        </w:tc>
      </w:tr>
    </w:tbl>
    <w:p w:rsidR="00C1025C" w:rsidRDefault="00C1025C" w:rsidP="0091690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:rsidR="00916906" w:rsidRPr="00BC743F" w:rsidRDefault="00916906" w:rsidP="00916906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C743F">
        <w:rPr>
          <w:rFonts w:ascii="Times New Roman" w:hAnsi="Times New Roman" w:cs="Times New Roman"/>
          <w:bCs/>
          <w:sz w:val="24"/>
          <w:szCs w:val="24"/>
        </w:rPr>
        <w:t>Bu sınıflandırmada geçen;</w:t>
      </w:r>
      <w:r w:rsidR="00C1025C" w:rsidRPr="00BC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8D0" w:rsidRPr="00BC743F">
        <w:rPr>
          <w:rFonts w:ascii="Times New Roman" w:hAnsi="Times New Roman" w:cs="Times New Roman"/>
          <w:b/>
          <w:bCs/>
          <w:sz w:val="24"/>
          <w:szCs w:val="24"/>
        </w:rPr>
        <w:t>(Revize</w:t>
      </w:r>
      <w:r w:rsidR="00C1025C" w:rsidRPr="00BC74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16906" w:rsidRPr="00BC743F" w:rsidRDefault="00916906" w:rsidP="00916906">
      <w:pPr>
        <w:spacing w:after="6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C74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SINIFI: </w:t>
      </w:r>
      <w:r w:rsidRPr="00BC743F">
        <w:rPr>
          <w:rFonts w:ascii="Times New Roman" w:hAnsi="Times New Roman" w:cs="Times New Roman"/>
          <w:bCs/>
          <w:spacing w:val="-7"/>
          <w:sz w:val="24"/>
          <w:szCs w:val="24"/>
        </w:rPr>
        <w:t>Analiz neticesinde oluşan kalite değerlerine göre yapılan sınıflandırmayı,</w:t>
      </w:r>
    </w:p>
    <w:p w:rsidR="00916906" w:rsidRPr="00BC743F" w:rsidRDefault="00916906" w:rsidP="00916906">
      <w:pPr>
        <w:spacing w:after="6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C743F">
        <w:rPr>
          <w:rFonts w:ascii="Times New Roman" w:hAnsi="Times New Roman" w:cs="Times New Roman"/>
          <w:b/>
          <w:bCs/>
          <w:spacing w:val="-7"/>
          <w:sz w:val="24"/>
          <w:szCs w:val="24"/>
        </w:rPr>
        <w:t>RUTUBET:</w:t>
      </w:r>
      <w:r w:rsidRPr="00BC743F">
        <w:rPr>
          <w:rFonts w:ascii="Times New Roman" w:hAnsi="Times New Roman" w:cs="Times New Roman"/>
          <w:sz w:val="24"/>
          <w:szCs w:val="24"/>
        </w:rPr>
        <w:t xml:space="preserve"> </w:t>
      </w:r>
      <w:r w:rsidRPr="00BC74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Kabuklu kırmızı mercimeğin ağırlıkça % su içeriğini (TS EN ISO 712), </w:t>
      </w:r>
    </w:p>
    <w:p w:rsidR="00916906" w:rsidRPr="00B73AE3" w:rsidRDefault="00916906" w:rsidP="00916906">
      <w:pPr>
        <w:tabs>
          <w:tab w:val="num" w:pos="600"/>
          <w:tab w:val="num" w:pos="1287"/>
        </w:tabs>
        <w:spacing w:after="6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C74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YABANCI MADDE: </w:t>
      </w:r>
      <w:r w:rsidRPr="00BC743F">
        <w:rPr>
          <w:rFonts w:ascii="Times New Roman" w:hAnsi="Times New Roman" w:cs="Times New Roman"/>
          <w:bCs/>
          <w:spacing w:val="-7"/>
          <w:sz w:val="24"/>
          <w:szCs w:val="24"/>
        </w:rPr>
        <w:t>Kabuklu kırmızı mercimeğin taneleri arasında veya içinde bulunan kendinden</w:t>
      </w:r>
      <w:r w:rsidRPr="00C1025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başka gözle görülebilir her türlü maddeleri,</w:t>
      </w:r>
    </w:p>
    <w:p w:rsidR="00916906" w:rsidRPr="00B73AE3" w:rsidRDefault="00916906" w:rsidP="00916906">
      <w:pPr>
        <w:tabs>
          <w:tab w:val="left" w:pos="600"/>
          <w:tab w:val="num" w:pos="1603"/>
        </w:tabs>
        <w:spacing w:after="6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>BOZUK TANE:</w:t>
      </w:r>
      <w:r w:rsidRPr="00B73AE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Küflenmiş, çürümüş, lekelenmiş veya kızışarak renk özelliklerini kaybetmiş, hastalıklı, don ve dolu nedeni ile zarar görmüş, ıslanıp kurutulmuş, böcek yenikli ve delik, olgunlaşmasını t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amamlayamamış, böcek emgisi nedeniyle </w:t>
      </w:r>
      <w:r w:rsidRPr="00B73AE3">
        <w:rPr>
          <w:rFonts w:ascii="Times New Roman" w:hAnsi="Times New Roman" w:cs="Times New Roman"/>
          <w:bCs/>
          <w:spacing w:val="-7"/>
          <w:sz w:val="24"/>
          <w:szCs w:val="24"/>
        </w:rPr>
        <w:t>tebeşir/beyaz taneye dönmüş bozuk mercimek tane ve parçalarını,</w:t>
      </w:r>
    </w:p>
    <w:p w:rsidR="00916906" w:rsidRPr="00B73AE3" w:rsidRDefault="00916906" w:rsidP="00916906">
      <w:pPr>
        <w:tabs>
          <w:tab w:val="num" w:pos="675"/>
          <w:tab w:val="num" w:pos="786"/>
          <w:tab w:val="num" w:pos="1395"/>
        </w:tabs>
        <w:spacing w:after="6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>KIRIK TANE:</w:t>
      </w:r>
      <w:r w:rsidRPr="00B73AE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Delik açıklığı 3 mm olan yuvarlak delikli eleğin üzerinde kalan tanesinin 1/4’ünden fazlası kırılmış bozuk olmayan mercimek parçalarını, </w:t>
      </w:r>
    </w:p>
    <w:p w:rsidR="00916906" w:rsidRPr="00B73AE3" w:rsidRDefault="00916906" w:rsidP="00916906">
      <w:pPr>
        <w:tabs>
          <w:tab w:val="left" w:pos="540"/>
        </w:tabs>
        <w:spacing w:after="60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>KALBUR ALTI:</w:t>
      </w:r>
      <w:r w:rsidRPr="00B73AE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Delik açıklığı 3 mm olan yuvarlak delikli eleğin altına geçen mercimek tanesi ve parçalarını,</w:t>
      </w: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</w:t>
      </w:r>
    </w:p>
    <w:p w:rsidR="00916906" w:rsidRPr="00B73AE3" w:rsidRDefault="00916906" w:rsidP="00916906">
      <w:pPr>
        <w:tabs>
          <w:tab w:val="num" w:pos="675"/>
          <w:tab w:val="num" w:pos="786"/>
          <w:tab w:val="num" w:pos="1395"/>
        </w:tabs>
        <w:spacing w:after="60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>KIZIŞMIŞ VE ÇİMLENMİŞ TANE:</w:t>
      </w:r>
      <w:r w:rsidRPr="00B73AE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Üründeki nem ve sıcaklık artışına bağlı olarak ısınmış taneler ile embriyosunda su ve sıcaklık etkisiyle kökçüğü ya da tomurcuğu çıplak gözle kolaylıkla görülebilen tam ve kırık mercimek tanelerini,</w:t>
      </w: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:rsidR="00916906" w:rsidRPr="00B73AE3" w:rsidRDefault="00916906" w:rsidP="00916906">
      <w:pPr>
        <w:tabs>
          <w:tab w:val="left" w:pos="540"/>
        </w:tabs>
        <w:spacing w:after="6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>DİĞER ÇEŞİTLERDEN TANELER:</w:t>
      </w:r>
      <w:r w:rsidRPr="00B73AE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Kabuklu Kırmızı mercimek taneleri arasında bulunan, kendi çeşidi dışındaki diğer mercimek çeşitlerine ait tanelerini,</w:t>
      </w:r>
    </w:p>
    <w:p w:rsidR="00916906" w:rsidRPr="00B73AE3" w:rsidRDefault="00916906" w:rsidP="00916906">
      <w:pPr>
        <w:tabs>
          <w:tab w:val="num" w:pos="0"/>
        </w:tabs>
        <w:spacing w:after="6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73AE3">
        <w:rPr>
          <w:rFonts w:ascii="Times New Roman" w:hAnsi="Times New Roman" w:cs="Times New Roman"/>
          <w:b/>
          <w:bCs/>
          <w:spacing w:val="-7"/>
          <w:sz w:val="24"/>
          <w:szCs w:val="24"/>
        </w:rPr>
        <w:t>KABUĞU SOYULMUŞ TANE:</w:t>
      </w:r>
      <w:r w:rsidRPr="00B73AE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Delik açıklığı 3 mm olan yuvarlak delikli eleğin üzerinde kalan tanesinin 1/4’ünden fazlası soyulmuş bozuk olmayan mercimek tanelerini,</w:t>
      </w:r>
    </w:p>
    <w:p w:rsidR="00464994" w:rsidRPr="00B73AE3" w:rsidRDefault="00916906">
      <w:pPr>
        <w:rPr>
          <w:rFonts w:ascii="Times New Roman" w:hAnsi="Times New Roman" w:cs="Times New Roman"/>
          <w:bCs/>
          <w:sz w:val="24"/>
          <w:szCs w:val="24"/>
        </w:rPr>
      </w:pPr>
      <w:r w:rsidRPr="00B73AE3">
        <w:rPr>
          <w:rFonts w:ascii="Times New Roman" w:hAnsi="Times New Roman" w:cs="Times New Roman"/>
          <w:sz w:val="24"/>
          <w:szCs w:val="24"/>
        </w:rPr>
        <w:t>ifade eder.</w:t>
      </w:r>
    </w:p>
    <w:sectPr w:rsidR="00464994" w:rsidRPr="00B73AE3" w:rsidSect="00B73AE3">
      <w:pgSz w:w="16838" w:h="11906" w:orient="landscape"/>
      <w:pgMar w:top="426" w:right="96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9F" w:rsidRDefault="00E7399F" w:rsidP="00C334DE">
      <w:r>
        <w:separator/>
      </w:r>
    </w:p>
  </w:endnote>
  <w:endnote w:type="continuationSeparator" w:id="0">
    <w:p w:rsidR="00E7399F" w:rsidRDefault="00E7399F" w:rsidP="00C3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9F" w:rsidRDefault="00E7399F" w:rsidP="00C334DE">
      <w:r>
        <w:separator/>
      </w:r>
    </w:p>
  </w:footnote>
  <w:footnote w:type="continuationSeparator" w:id="0">
    <w:p w:rsidR="00E7399F" w:rsidRDefault="00E7399F" w:rsidP="00C3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0C9"/>
    <w:multiLevelType w:val="multilevel"/>
    <w:tmpl w:val="0A6664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75"/>
        </w:tabs>
        <w:ind w:left="675" w:hanging="10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" w15:restartNumberingAfterBreak="0">
    <w:nsid w:val="6EBD17A5"/>
    <w:multiLevelType w:val="multilevel"/>
    <w:tmpl w:val="3550AB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5"/>
        </w:tabs>
        <w:ind w:left="1735" w:hanging="10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73B525CC"/>
    <w:multiLevelType w:val="hybridMultilevel"/>
    <w:tmpl w:val="40B4C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E2"/>
    <w:rsid w:val="00002ED2"/>
    <w:rsid w:val="00041324"/>
    <w:rsid w:val="00057529"/>
    <w:rsid w:val="00057F45"/>
    <w:rsid w:val="00067A36"/>
    <w:rsid w:val="000C0DC5"/>
    <w:rsid w:val="000C2612"/>
    <w:rsid w:val="001A3C2F"/>
    <w:rsid w:val="001A5545"/>
    <w:rsid w:val="0026055C"/>
    <w:rsid w:val="0028715A"/>
    <w:rsid w:val="002F47CB"/>
    <w:rsid w:val="0031537A"/>
    <w:rsid w:val="00323A4C"/>
    <w:rsid w:val="00380A4B"/>
    <w:rsid w:val="00382115"/>
    <w:rsid w:val="003B5F49"/>
    <w:rsid w:val="003D287C"/>
    <w:rsid w:val="00411FBE"/>
    <w:rsid w:val="004409AF"/>
    <w:rsid w:val="00464994"/>
    <w:rsid w:val="0049191A"/>
    <w:rsid w:val="004A5290"/>
    <w:rsid w:val="004B6BB1"/>
    <w:rsid w:val="004E044F"/>
    <w:rsid w:val="004E112D"/>
    <w:rsid w:val="004E43AB"/>
    <w:rsid w:val="004F6567"/>
    <w:rsid w:val="00521EBB"/>
    <w:rsid w:val="00586964"/>
    <w:rsid w:val="005909A7"/>
    <w:rsid w:val="005B180F"/>
    <w:rsid w:val="005B1DD6"/>
    <w:rsid w:val="006403EC"/>
    <w:rsid w:val="006560FC"/>
    <w:rsid w:val="006C4CC2"/>
    <w:rsid w:val="00701341"/>
    <w:rsid w:val="00750035"/>
    <w:rsid w:val="007645FB"/>
    <w:rsid w:val="007654E6"/>
    <w:rsid w:val="007A2384"/>
    <w:rsid w:val="007F6FA2"/>
    <w:rsid w:val="00856976"/>
    <w:rsid w:val="00891C8D"/>
    <w:rsid w:val="008B1806"/>
    <w:rsid w:val="008B4CFB"/>
    <w:rsid w:val="009005B4"/>
    <w:rsid w:val="00916906"/>
    <w:rsid w:val="00924729"/>
    <w:rsid w:val="0092689B"/>
    <w:rsid w:val="009431A3"/>
    <w:rsid w:val="00985B6B"/>
    <w:rsid w:val="009968D0"/>
    <w:rsid w:val="009C0DA3"/>
    <w:rsid w:val="009C134C"/>
    <w:rsid w:val="009D3AF9"/>
    <w:rsid w:val="009D61F4"/>
    <w:rsid w:val="009E2EB0"/>
    <w:rsid w:val="00A14101"/>
    <w:rsid w:val="00A32E90"/>
    <w:rsid w:val="00A47F16"/>
    <w:rsid w:val="00A6206E"/>
    <w:rsid w:val="00A6579A"/>
    <w:rsid w:val="00A70E69"/>
    <w:rsid w:val="00A77F25"/>
    <w:rsid w:val="00A80794"/>
    <w:rsid w:val="00A96BF2"/>
    <w:rsid w:val="00AA5335"/>
    <w:rsid w:val="00AB18D5"/>
    <w:rsid w:val="00AF23D9"/>
    <w:rsid w:val="00B210C5"/>
    <w:rsid w:val="00B4558E"/>
    <w:rsid w:val="00B73AE3"/>
    <w:rsid w:val="00B76076"/>
    <w:rsid w:val="00BB18E2"/>
    <w:rsid w:val="00BC082F"/>
    <w:rsid w:val="00BC743F"/>
    <w:rsid w:val="00BE125E"/>
    <w:rsid w:val="00BF6C09"/>
    <w:rsid w:val="00C1025C"/>
    <w:rsid w:val="00C10C9E"/>
    <w:rsid w:val="00C1745B"/>
    <w:rsid w:val="00C334DE"/>
    <w:rsid w:val="00C35A03"/>
    <w:rsid w:val="00C5256D"/>
    <w:rsid w:val="00CC6ABA"/>
    <w:rsid w:val="00CE053E"/>
    <w:rsid w:val="00CF024B"/>
    <w:rsid w:val="00D60F55"/>
    <w:rsid w:val="00D76D3B"/>
    <w:rsid w:val="00DB1A4B"/>
    <w:rsid w:val="00DE3FA9"/>
    <w:rsid w:val="00E00875"/>
    <w:rsid w:val="00E15D76"/>
    <w:rsid w:val="00E7399F"/>
    <w:rsid w:val="00E821CF"/>
    <w:rsid w:val="00EA7882"/>
    <w:rsid w:val="00F07225"/>
    <w:rsid w:val="00F26532"/>
    <w:rsid w:val="00F26859"/>
    <w:rsid w:val="00F333AB"/>
    <w:rsid w:val="00F5759F"/>
    <w:rsid w:val="00F97B0F"/>
    <w:rsid w:val="00FB77E3"/>
    <w:rsid w:val="00FE128B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82EDD-ADC7-1747-91E8-E8EE1D9E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E2"/>
    <w:pPr>
      <w:tabs>
        <w:tab w:val="left" w:pos="567"/>
      </w:tabs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34DE"/>
    <w:pPr>
      <w:tabs>
        <w:tab w:val="clear" w:pos="567"/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34DE"/>
    <w:rPr>
      <w:rFonts w:ascii="Arial" w:eastAsia="SimSun" w:hAnsi="Arial" w:cs="Arial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C334DE"/>
    <w:pPr>
      <w:tabs>
        <w:tab w:val="clear" w:pos="567"/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34DE"/>
    <w:rPr>
      <w:rFonts w:ascii="Arial" w:eastAsia="SimSun" w:hAnsi="Arial" w:cs="Arial"/>
      <w:sz w:val="20"/>
      <w:szCs w:val="20"/>
      <w:lang w:eastAsia="zh-CN"/>
    </w:rPr>
  </w:style>
  <w:style w:type="paragraph" w:styleId="ListeParagraf">
    <w:name w:val="List Paragraph"/>
    <w:basedOn w:val="Normal"/>
    <w:uiPriority w:val="34"/>
    <w:qFormat/>
    <w:rsid w:val="00D6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EC50-2CBD-4A27-BEF7-355E0B51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Atar</dc:creator>
  <cp:lastModifiedBy>Banu GÜLER</cp:lastModifiedBy>
  <cp:revision>2</cp:revision>
  <cp:lastPrinted>2019-06-13T14:37:00Z</cp:lastPrinted>
  <dcterms:created xsi:type="dcterms:W3CDTF">2020-08-04T12:07:00Z</dcterms:created>
  <dcterms:modified xsi:type="dcterms:W3CDTF">2020-08-04T12:07:00Z</dcterms:modified>
</cp:coreProperties>
</file>