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84F" w:rsidRDefault="00A4503D" w:rsidP="00A4503D">
      <w:pPr>
        <w:pStyle w:val="ListeParagraf"/>
        <w:numPr>
          <w:ilvl w:val="0"/>
          <w:numId w:val="1"/>
        </w:numPr>
        <w:rPr>
          <w:rFonts w:ascii="Times New Roman" w:hAnsi="Times New Roman" w:cs="Times New Roman"/>
          <w:b/>
          <w:lang w:val="tr-TR"/>
        </w:rPr>
      </w:pPr>
      <w:r w:rsidRPr="00A4503D">
        <w:rPr>
          <w:rFonts w:ascii="Times New Roman" w:hAnsi="Times New Roman" w:cs="Times New Roman"/>
          <w:b/>
          <w:lang w:val="tr-TR"/>
        </w:rPr>
        <w:t>Güney Afrika Cumhuriyeti Mobilya Sektörü</w:t>
      </w:r>
    </w:p>
    <w:p w:rsidR="00812DC8" w:rsidRPr="00A4503D" w:rsidRDefault="00812DC8" w:rsidP="00812DC8">
      <w:pPr>
        <w:pStyle w:val="ListeParagraf"/>
        <w:rPr>
          <w:rFonts w:ascii="Times New Roman" w:hAnsi="Times New Roman" w:cs="Times New Roman"/>
          <w:b/>
          <w:lang w:val="tr-TR"/>
        </w:rPr>
      </w:pPr>
    </w:p>
    <w:p w:rsidR="00A4503D" w:rsidRDefault="00A4503D" w:rsidP="00234650">
      <w:pPr>
        <w:pStyle w:val="ListeParagraf"/>
        <w:numPr>
          <w:ilvl w:val="1"/>
          <w:numId w:val="1"/>
        </w:numPr>
        <w:rPr>
          <w:rFonts w:ascii="Times New Roman" w:hAnsi="Times New Roman" w:cs="Times New Roman"/>
          <w:b/>
          <w:lang w:val="tr-TR"/>
        </w:rPr>
      </w:pPr>
      <w:r w:rsidRPr="00234650">
        <w:rPr>
          <w:rFonts w:ascii="Times New Roman" w:hAnsi="Times New Roman" w:cs="Times New Roman"/>
          <w:b/>
          <w:lang w:val="tr-TR"/>
        </w:rPr>
        <w:t>İlgili Sektörde Üretim</w:t>
      </w:r>
    </w:p>
    <w:p w:rsidR="00234650" w:rsidRDefault="00D921FA" w:rsidP="00D921FA">
      <w:pPr>
        <w:ind w:left="360"/>
        <w:rPr>
          <w:rFonts w:ascii="Times New Roman" w:hAnsi="Times New Roman" w:cs="Times New Roman"/>
          <w:b/>
          <w:lang w:val="tr-TR"/>
        </w:rPr>
      </w:pPr>
      <w:r>
        <w:rPr>
          <w:rFonts w:ascii="Times New Roman" w:hAnsi="Times New Roman" w:cs="Times New Roman"/>
          <w:b/>
          <w:lang w:val="tr-TR"/>
        </w:rPr>
        <w:t>1.1.1 Dünyada Mobilya Sektörü</w:t>
      </w:r>
    </w:p>
    <w:p w:rsidR="005F30D6" w:rsidRDefault="00187595" w:rsidP="00187595">
      <w:pPr>
        <w:pStyle w:val="ListeParagraf"/>
        <w:ind w:left="0" w:firstLine="709"/>
        <w:jc w:val="both"/>
        <w:rPr>
          <w:rFonts w:ascii="Times New Roman" w:hAnsi="Times New Roman" w:cs="Times New Roman"/>
          <w:lang w:val="tr-TR"/>
        </w:rPr>
      </w:pPr>
      <w:r>
        <w:rPr>
          <w:rFonts w:ascii="Times New Roman" w:hAnsi="Times New Roman" w:cs="Times New Roman"/>
          <w:lang w:val="tr-TR"/>
        </w:rPr>
        <w:t>D</w:t>
      </w:r>
      <w:r w:rsidR="005F5034">
        <w:rPr>
          <w:rFonts w:ascii="Times New Roman" w:hAnsi="Times New Roman" w:cs="Times New Roman"/>
          <w:lang w:val="tr-TR"/>
        </w:rPr>
        <w:t xml:space="preserve">ünyada </w:t>
      </w:r>
      <w:r w:rsidR="0036595F">
        <w:rPr>
          <w:rFonts w:ascii="Times New Roman" w:hAnsi="Times New Roman" w:cs="Times New Roman"/>
          <w:lang w:val="tr-TR"/>
        </w:rPr>
        <w:t>mobilya sektörüne ilişkin genel bir çerçeve çize</w:t>
      </w:r>
      <w:r>
        <w:rPr>
          <w:rFonts w:ascii="Times New Roman" w:hAnsi="Times New Roman" w:cs="Times New Roman"/>
          <w:lang w:val="tr-TR"/>
        </w:rPr>
        <w:t>n ve 2024 yılına kadar temel başlıklar altında ve belli zaman aralıklarını kapsayacak şekilde analizler ile 2024-203</w:t>
      </w:r>
      <w:r w:rsidR="008C6CE8">
        <w:rPr>
          <w:rFonts w:ascii="Times New Roman" w:hAnsi="Times New Roman" w:cs="Times New Roman"/>
          <w:lang w:val="tr-TR"/>
        </w:rPr>
        <w:t>0 yılına kadarki döneme ilişkin</w:t>
      </w:r>
      <w:r>
        <w:rPr>
          <w:rFonts w:ascii="Times New Roman" w:hAnsi="Times New Roman" w:cs="Times New Roman"/>
          <w:lang w:val="tr-TR"/>
        </w:rPr>
        <w:t xml:space="preserve"> </w:t>
      </w:r>
      <w:proofErr w:type="gramStart"/>
      <w:r>
        <w:rPr>
          <w:rFonts w:ascii="Times New Roman" w:hAnsi="Times New Roman" w:cs="Times New Roman"/>
          <w:lang w:val="tr-TR"/>
        </w:rPr>
        <w:t>projeksiyonlar</w:t>
      </w:r>
      <w:proofErr w:type="gramEnd"/>
      <w:r>
        <w:rPr>
          <w:rFonts w:ascii="Times New Roman" w:hAnsi="Times New Roman" w:cs="Times New Roman"/>
          <w:lang w:val="tr-TR"/>
        </w:rPr>
        <w:t xml:space="preserve"> sunan </w:t>
      </w:r>
      <w:proofErr w:type="spellStart"/>
      <w:r w:rsidR="00346CBE">
        <w:rPr>
          <w:rFonts w:ascii="Times New Roman" w:hAnsi="Times New Roman" w:cs="Times New Roman"/>
          <w:lang w:val="tr-TR"/>
        </w:rPr>
        <w:t>Statista’</w:t>
      </w:r>
      <w:r w:rsidR="0036595F">
        <w:rPr>
          <w:rFonts w:ascii="Times New Roman" w:hAnsi="Times New Roman" w:cs="Times New Roman"/>
          <w:lang w:val="tr-TR"/>
        </w:rPr>
        <w:t>nın</w:t>
      </w:r>
      <w:proofErr w:type="spellEnd"/>
      <w:r w:rsidR="005F5034">
        <w:rPr>
          <w:rStyle w:val="DipnotBavurusu"/>
          <w:rFonts w:ascii="Times New Roman" w:hAnsi="Times New Roman" w:cs="Times New Roman"/>
          <w:lang w:val="tr-TR"/>
        </w:rPr>
        <w:footnoteReference w:id="1"/>
      </w:r>
      <w:r w:rsidR="0036595F">
        <w:rPr>
          <w:rFonts w:ascii="Times New Roman" w:hAnsi="Times New Roman" w:cs="Times New Roman"/>
          <w:lang w:val="tr-TR"/>
        </w:rPr>
        <w:t xml:space="preserve"> </w:t>
      </w:r>
      <w:proofErr w:type="spellStart"/>
      <w:r>
        <w:rPr>
          <w:rFonts w:ascii="Times New Roman" w:hAnsi="Times New Roman" w:cs="Times New Roman"/>
          <w:lang w:val="tr-TR"/>
        </w:rPr>
        <w:t>Future</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Industry</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Worldwide</w:t>
      </w:r>
      <w:proofErr w:type="spellEnd"/>
      <w:r>
        <w:rPr>
          <w:rFonts w:ascii="Times New Roman" w:hAnsi="Times New Roman" w:cs="Times New Roman"/>
          <w:lang w:val="tr-TR"/>
        </w:rPr>
        <w:t xml:space="preserve"> başlıklı Raporunda yer alan verilere göre </w:t>
      </w:r>
      <w:r w:rsidR="0036595F" w:rsidRPr="00FE41C4">
        <w:rPr>
          <w:rFonts w:ascii="Times New Roman" w:hAnsi="Times New Roman" w:cs="Times New Roman"/>
          <w:lang w:val="tr-TR"/>
        </w:rPr>
        <w:t>20</w:t>
      </w:r>
      <w:r>
        <w:rPr>
          <w:rFonts w:ascii="Times New Roman" w:hAnsi="Times New Roman" w:cs="Times New Roman"/>
          <w:lang w:val="tr-TR"/>
        </w:rPr>
        <w:t xml:space="preserve">24 yılında </w:t>
      </w:r>
      <w:r w:rsidR="0036595F" w:rsidRPr="00FE41C4">
        <w:rPr>
          <w:rFonts w:ascii="Times New Roman" w:hAnsi="Times New Roman" w:cs="Times New Roman"/>
          <w:lang w:val="tr-TR"/>
        </w:rPr>
        <w:t>dünyada sektör gelirlerinin en yüksek olduğu ilk 10 ülke sırasıyla ABD, Çin, Almanya, Fransa, Birleşik Krallık, Japonya, Kanada, Rusya, Brezilya ve Avustralya olmuştur.</w:t>
      </w:r>
      <w:r w:rsidR="005F30D6" w:rsidRPr="00FE41C4">
        <w:rPr>
          <w:rFonts w:ascii="Times New Roman" w:hAnsi="Times New Roman" w:cs="Times New Roman"/>
          <w:lang w:val="tr-TR"/>
        </w:rPr>
        <w:t xml:space="preserve"> </w:t>
      </w:r>
      <w:r w:rsidR="005F5034">
        <w:rPr>
          <w:rFonts w:ascii="Times New Roman" w:hAnsi="Times New Roman" w:cs="Times New Roman"/>
          <w:lang w:val="tr-TR"/>
        </w:rPr>
        <w:t xml:space="preserve">Dünya ölçeğinde sektör gelirlerinin 2024 yılından sonra da artmaya devam edeceği ve 2024 yılında yaklaşık 700 milyar dolar olan </w:t>
      </w:r>
      <w:proofErr w:type="spellStart"/>
      <w:r w:rsidR="005F5034">
        <w:rPr>
          <w:rFonts w:ascii="Times New Roman" w:hAnsi="Times New Roman" w:cs="Times New Roman"/>
          <w:lang w:val="tr-TR"/>
        </w:rPr>
        <w:t>sektörel</w:t>
      </w:r>
      <w:proofErr w:type="spellEnd"/>
      <w:r w:rsidR="005F5034">
        <w:rPr>
          <w:rFonts w:ascii="Times New Roman" w:hAnsi="Times New Roman" w:cs="Times New Roman"/>
          <w:lang w:val="tr-TR"/>
        </w:rPr>
        <w:t xml:space="preserve"> toplam gelirin 2030 yılı itibariyle 850 milyar dolara yaklaşacağı öngörülmektedir. </w:t>
      </w:r>
    </w:p>
    <w:p w:rsidR="00D921FA" w:rsidRPr="00FE41C4" w:rsidRDefault="00D921FA" w:rsidP="00187595">
      <w:pPr>
        <w:pStyle w:val="ListeParagraf"/>
        <w:ind w:left="0" w:firstLine="709"/>
        <w:jc w:val="both"/>
        <w:rPr>
          <w:rFonts w:ascii="Times New Roman" w:hAnsi="Times New Roman" w:cs="Times New Roman"/>
          <w:lang w:val="tr-TR"/>
        </w:rPr>
      </w:pPr>
    </w:p>
    <w:p w:rsidR="00187595" w:rsidRDefault="00FE41C4" w:rsidP="00187595">
      <w:pPr>
        <w:pStyle w:val="ListeParagraf"/>
        <w:ind w:left="0" w:firstLine="709"/>
        <w:jc w:val="both"/>
        <w:rPr>
          <w:rFonts w:ascii="Times New Roman" w:hAnsi="Times New Roman" w:cs="Times New Roman"/>
          <w:lang w:val="tr-TR"/>
        </w:rPr>
      </w:pPr>
      <w:r>
        <w:rPr>
          <w:rFonts w:ascii="Times New Roman" w:hAnsi="Times New Roman" w:cs="Times New Roman"/>
          <w:lang w:val="tr-TR"/>
        </w:rPr>
        <w:t xml:space="preserve">Aşağıdaki grafiklerde </w:t>
      </w:r>
      <w:proofErr w:type="gramStart"/>
      <w:r>
        <w:rPr>
          <w:rFonts w:ascii="Times New Roman" w:hAnsi="Times New Roman" w:cs="Times New Roman"/>
          <w:lang w:val="tr-TR"/>
        </w:rPr>
        <w:t>g</w:t>
      </w:r>
      <w:r w:rsidR="005F30D6">
        <w:rPr>
          <w:rFonts w:ascii="Times New Roman" w:hAnsi="Times New Roman" w:cs="Times New Roman"/>
          <w:lang w:val="tr-TR"/>
        </w:rPr>
        <w:t>lobal</w:t>
      </w:r>
      <w:proofErr w:type="gramEnd"/>
      <w:r w:rsidR="005F30D6">
        <w:rPr>
          <w:rFonts w:ascii="Times New Roman" w:hAnsi="Times New Roman" w:cs="Times New Roman"/>
          <w:lang w:val="tr-TR"/>
        </w:rPr>
        <w:t xml:space="preserve"> olarak </w:t>
      </w:r>
      <w:proofErr w:type="spellStart"/>
      <w:r w:rsidR="005F30D6">
        <w:rPr>
          <w:rFonts w:ascii="Times New Roman" w:hAnsi="Times New Roman" w:cs="Times New Roman"/>
          <w:lang w:val="tr-TR"/>
        </w:rPr>
        <w:t>sektörel</w:t>
      </w:r>
      <w:proofErr w:type="spellEnd"/>
      <w:r w:rsidR="005F30D6">
        <w:rPr>
          <w:rFonts w:ascii="Times New Roman" w:hAnsi="Times New Roman" w:cs="Times New Roman"/>
          <w:lang w:val="tr-TR"/>
        </w:rPr>
        <w:t xml:space="preserve"> ithalat ve ihracat gelirleri</w:t>
      </w:r>
      <w:r>
        <w:rPr>
          <w:rFonts w:ascii="Times New Roman" w:hAnsi="Times New Roman" w:cs="Times New Roman"/>
          <w:lang w:val="tr-TR"/>
        </w:rPr>
        <w:t>nin</w:t>
      </w:r>
      <w:r w:rsidR="005F30D6">
        <w:rPr>
          <w:rFonts w:ascii="Times New Roman" w:hAnsi="Times New Roman" w:cs="Times New Roman"/>
          <w:lang w:val="tr-TR"/>
        </w:rPr>
        <w:t xml:space="preserve"> 2003 ila 2023 yılları arasında genel olara</w:t>
      </w:r>
      <w:r>
        <w:rPr>
          <w:rFonts w:ascii="Times New Roman" w:hAnsi="Times New Roman" w:cs="Times New Roman"/>
          <w:lang w:val="tr-TR"/>
        </w:rPr>
        <w:t>k yukarı yönlü bir ivme izlediği;</w:t>
      </w:r>
      <w:r w:rsidR="005F30D6">
        <w:rPr>
          <w:rFonts w:ascii="Times New Roman" w:hAnsi="Times New Roman" w:cs="Times New Roman"/>
          <w:lang w:val="tr-TR"/>
        </w:rPr>
        <w:t xml:space="preserve"> </w:t>
      </w:r>
      <w:r>
        <w:rPr>
          <w:rFonts w:ascii="Times New Roman" w:hAnsi="Times New Roman" w:cs="Times New Roman"/>
          <w:lang w:val="tr-TR"/>
        </w:rPr>
        <w:t xml:space="preserve">bu ivmenin gerek ithalat gerek ihracat açısından 2008 ve 2019 yılları için tersine döndüğü ancak 2020 yılı ile birlikte ithalat ve ihracat gelirleri açısından </w:t>
      </w:r>
      <w:r w:rsidR="00187595">
        <w:rPr>
          <w:rFonts w:ascii="Times New Roman" w:hAnsi="Times New Roman" w:cs="Times New Roman"/>
          <w:lang w:val="tr-TR"/>
        </w:rPr>
        <w:t xml:space="preserve">hızlı </w:t>
      </w:r>
      <w:r>
        <w:rPr>
          <w:rFonts w:ascii="Times New Roman" w:hAnsi="Times New Roman" w:cs="Times New Roman"/>
          <w:lang w:val="tr-TR"/>
        </w:rPr>
        <w:t xml:space="preserve">bir toparlanma </w:t>
      </w:r>
      <w:r w:rsidR="00187595">
        <w:rPr>
          <w:rFonts w:ascii="Times New Roman" w:hAnsi="Times New Roman" w:cs="Times New Roman"/>
          <w:lang w:val="tr-TR"/>
        </w:rPr>
        <w:t xml:space="preserve">yaşansa da, pek çok kaynakta </w:t>
      </w:r>
      <w:proofErr w:type="spellStart"/>
      <w:r w:rsidR="00187595">
        <w:rPr>
          <w:rFonts w:ascii="Times New Roman" w:hAnsi="Times New Roman" w:cs="Times New Roman"/>
          <w:lang w:val="tr-TR"/>
        </w:rPr>
        <w:t>pandemi</w:t>
      </w:r>
      <w:proofErr w:type="spellEnd"/>
      <w:r w:rsidR="00187595">
        <w:rPr>
          <w:rFonts w:ascii="Times New Roman" w:hAnsi="Times New Roman" w:cs="Times New Roman"/>
          <w:lang w:val="tr-TR"/>
        </w:rPr>
        <w:t xml:space="preserve"> döneminde evde geçirilen zamanın artmasından dolayı ele</w:t>
      </w:r>
      <w:r w:rsidR="00583A54">
        <w:rPr>
          <w:rFonts w:ascii="Times New Roman" w:hAnsi="Times New Roman" w:cs="Times New Roman"/>
          <w:lang w:val="tr-TR"/>
        </w:rPr>
        <w:t>ktronik ticarete karşı oluşan</w:t>
      </w:r>
      <w:r w:rsidR="00187595">
        <w:rPr>
          <w:rFonts w:ascii="Times New Roman" w:hAnsi="Times New Roman" w:cs="Times New Roman"/>
          <w:lang w:val="tr-TR"/>
        </w:rPr>
        <w:t xml:space="preserve"> ilgiye dayandırılan talep patlamasının 2020 yılını izleyen dönemde ortadan kay</w:t>
      </w:r>
      <w:r w:rsidR="00FD6ECC">
        <w:rPr>
          <w:rFonts w:ascii="Times New Roman" w:hAnsi="Times New Roman" w:cs="Times New Roman"/>
          <w:lang w:val="tr-TR"/>
        </w:rPr>
        <w:t>bolduğu ve ithalat/</w:t>
      </w:r>
      <w:r w:rsidR="00187595">
        <w:rPr>
          <w:rFonts w:ascii="Times New Roman" w:hAnsi="Times New Roman" w:cs="Times New Roman"/>
          <w:lang w:val="tr-TR"/>
        </w:rPr>
        <w:t xml:space="preserve">ihracat </w:t>
      </w:r>
      <w:r w:rsidR="00FD6ECC">
        <w:rPr>
          <w:rFonts w:ascii="Times New Roman" w:hAnsi="Times New Roman" w:cs="Times New Roman"/>
          <w:lang w:val="tr-TR"/>
        </w:rPr>
        <w:t xml:space="preserve">trendlerinin bu yılın ardından negatif seyir izlediği </w:t>
      </w:r>
      <w:r w:rsidR="00187595">
        <w:rPr>
          <w:rFonts w:ascii="Times New Roman" w:hAnsi="Times New Roman" w:cs="Times New Roman"/>
          <w:lang w:val="tr-TR"/>
        </w:rPr>
        <w:t>görülmektedir.</w:t>
      </w:r>
    </w:p>
    <w:p w:rsidR="00187595" w:rsidRDefault="00187595" w:rsidP="005F5034">
      <w:pPr>
        <w:pStyle w:val="ListeParagraf"/>
        <w:ind w:left="0" w:firstLine="709"/>
        <w:jc w:val="both"/>
        <w:rPr>
          <w:rFonts w:ascii="Times New Roman" w:hAnsi="Times New Roman" w:cs="Times New Roman"/>
          <w:lang w:val="tr-TR"/>
        </w:rPr>
      </w:pPr>
      <w:r w:rsidRPr="007A3ECA">
        <w:rPr>
          <w:rFonts w:ascii="Times New Roman" w:hAnsi="Times New Roman" w:cs="Times New Roman"/>
          <w:noProof/>
          <w:lang w:eastAsia="en-GB"/>
        </w:rPr>
        <mc:AlternateContent>
          <mc:Choice Requires="wps">
            <w:drawing>
              <wp:anchor distT="45720" distB="45720" distL="114300" distR="114300" simplePos="0" relativeHeight="251659264" behindDoc="0" locked="0" layoutInCell="1" allowOverlap="1" wp14:anchorId="2E65762D" wp14:editId="05736B07">
                <wp:simplePos x="0" y="0"/>
                <wp:positionH relativeFrom="column">
                  <wp:posOffset>-635</wp:posOffset>
                </wp:positionH>
                <wp:positionV relativeFrom="paragraph">
                  <wp:posOffset>240425</wp:posOffset>
                </wp:positionV>
                <wp:extent cx="5838825" cy="2070100"/>
                <wp:effectExtent l="0" t="0" r="28575" b="2540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2070100"/>
                        </a:xfrm>
                        <a:prstGeom prst="rect">
                          <a:avLst/>
                        </a:prstGeom>
                        <a:solidFill>
                          <a:srgbClr val="FFFFFF"/>
                        </a:solidFill>
                        <a:ln w="19050">
                          <a:solidFill>
                            <a:srgbClr val="000000"/>
                          </a:solidFill>
                          <a:miter lim="800000"/>
                          <a:headEnd/>
                          <a:tailEnd/>
                        </a:ln>
                      </wps:spPr>
                      <wps:txbx>
                        <w:txbxContent>
                          <w:p w:rsidR="00B76886" w:rsidRDefault="00B76886">
                            <w:r w:rsidRPr="005F30D6">
                              <w:rPr>
                                <w:rFonts w:ascii="Times New Roman" w:hAnsi="Times New Roman" w:cs="Times New Roman"/>
                                <w:noProof/>
                                <w:lang w:eastAsia="en-GB"/>
                              </w:rPr>
                              <w:drawing>
                                <wp:inline distT="0" distB="0" distL="0" distR="0" wp14:anchorId="764BC1D7" wp14:editId="5358432D">
                                  <wp:extent cx="2735471" cy="1911410"/>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6261" cy="1981837"/>
                                          </a:xfrm>
                                          <a:prstGeom prst="rect">
                                            <a:avLst/>
                                          </a:prstGeom>
                                          <a:noFill/>
                                          <a:ln>
                                            <a:noFill/>
                                          </a:ln>
                                        </pic:spPr>
                                      </pic:pic>
                                    </a:graphicData>
                                  </a:graphic>
                                </wp:inline>
                              </w:drawing>
                            </w:r>
                            <w:r w:rsidRPr="005F30D6">
                              <w:rPr>
                                <w:rFonts w:ascii="Times New Roman" w:hAnsi="Times New Roman" w:cs="Times New Roman"/>
                                <w:noProof/>
                                <w:lang w:eastAsia="en-GB"/>
                              </w:rPr>
                              <w:drawing>
                                <wp:inline distT="0" distB="0" distL="0" distR="0" wp14:anchorId="7C15E8BD" wp14:editId="6F8EA13B">
                                  <wp:extent cx="2850780" cy="1906740"/>
                                  <wp:effectExtent l="0" t="0" r="698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6861" cy="197100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5762D" id="_x0000_t202" coordsize="21600,21600" o:spt="202" path="m,l,21600r21600,l21600,xe">
                <v:stroke joinstyle="miter"/>
                <v:path gradientshapeok="t" o:connecttype="rect"/>
              </v:shapetype>
              <v:shape id="Metin Kutusu 2" o:spid="_x0000_s1026" type="#_x0000_t202" style="position:absolute;left:0;text-align:left;margin-left:-.05pt;margin-top:18.95pt;width:459.75pt;height:16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" strokeweight="1.5pt">
                <v:textbox>
                  <w:txbxContent>
                    <w:p w:rsidR="00B76886" w:rsidRDefault="00B76886">
                      <w:r w:rsidRPr="005F30D6">
                        <w:rPr>
                          <w:rFonts w:ascii="Times New Roman" w:hAnsi="Times New Roman" w:cs="Times New Roman"/>
                          <w:noProof/>
                          <w:lang w:eastAsia="en-GB"/>
                        </w:rPr>
                        <w:drawing>
                          <wp:inline distT="0" distB="0" distL="0" distR="0" wp14:anchorId="764BC1D7" wp14:editId="5358432D">
                            <wp:extent cx="2735471" cy="1911410"/>
                            <wp:effectExtent l="0" t="0" r="825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6261" cy="1981837"/>
                                    </a:xfrm>
                                    <a:prstGeom prst="rect">
                                      <a:avLst/>
                                    </a:prstGeom>
                                    <a:noFill/>
                                    <a:ln>
                                      <a:noFill/>
                                    </a:ln>
                                  </pic:spPr>
                                </pic:pic>
                              </a:graphicData>
                            </a:graphic>
                          </wp:inline>
                        </w:drawing>
                      </w:r>
                      <w:r w:rsidRPr="005F30D6">
                        <w:rPr>
                          <w:rFonts w:ascii="Times New Roman" w:hAnsi="Times New Roman" w:cs="Times New Roman"/>
                          <w:noProof/>
                          <w:lang w:eastAsia="en-GB"/>
                        </w:rPr>
                        <w:drawing>
                          <wp:inline distT="0" distB="0" distL="0" distR="0" wp14:anchorId="7C15E8BD" wp14:editId="6F8EA13B">
                            <wp:extent cx="2850780" cy="1906740"/>
                            <wp:effectExtent l="0" t="0" r="698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46861" cy="1971004"/>
                                    </a:xfrm>
                                    <a:prstGeom prst="rect">
                                      <a:avLst/>
                                    </a:prstGeom>
                                    <a:noFill/>
                                    <a:ln>
                                      <a:noFill/>
                                    </a:ln>
                                  </pic:spPr>
                                </pic:pic>
                              </a:graphicData>
                            </a:graphic>
                          </wp:inline>
                        </w:drawing>
                      </w:r>
                    </w:p>
                  </w:txbxContent>
                </v:textbox>
                <w10:wrap type="square"/>
              </v:shape>
            </w:pict>
          </mc:Fallback>
        </mc:AlternateContent>
      </w:r>
    </w:p>
    <w:p w:rsidR="005F30D6" w:rsidRPr="00AE5779" w:rsidRDefault="00FE41C4" w:rsidP="00AE5779">
      <w:pPr>
        <w:jc w:val="both"/>
        <w:rPr>
          <w:rFonts w:ascii="Times New Roman" w:hAnsi="Times New Roman" w:cs="Times New Roman"/>
          <w:lang w:val="tr-TR"/>
        </w:rPr>
      </w:pPr>
      <w:r w:rsidRPr="00AE5779">
        <w:rPr>
          <w:rFonts w:ascii="Times New Roman" w:hAnsi="Times New Roman" w:cs="Times New Roman"/>
          <w:lang w:val="tr-TR"/>
        </w:rPr>
        <w:t xml:space="preserve"> </w:t>
      </w:r>
    </w:p>
    <w:p w:rsidR="009C7174" w:rsidRDefault="00AE5779" w:rsidP="009C7174">
      <w:pPr>
        <w:pStyle w:val="ListeParagraf"/>
        <w:ind w:left="0" w:firstLine="709"/>
        <w:jc w:val="both"/>
        <w:rPr>
          <w:rFonts w:ascii="Times New Roman" w:hAnsi="Times New Roman" w:cs="Times New Roman"/>
          <w:lang w:val="tr-TR"/>
        </w:rPr>
      </w:pPr>
      <w:proofErr w:type="spellStart"/>
      <w:r>
        <w:rPr>
          <w:rFonts w:ascii="Times New Roman" w:hAnsi="Times New Roman" w:cs="Times New Roman"/>
          <w:lang w:val="tr-TR"/>
        </w:rPr>
        <w:t>Statista’nın</w:t>
      </w:r>
      <w:proofErr w:type="spellEnd"/>
      <w:r>
        <w:rPr>
          <w:rFonts w:ascii="Times New Roman" w:hAnsi="Times New Roman" w:cs="Times New Roman"/>
          <w:lang w:val="tr-TR"/>
        </w:rPr>
        <w:t xml:space="preserve"> </w:t>
      </w:r>
      <w:r w:rsidR="007A3ECA">
        <w:rPr>
          <w:rFonts w:ascii="Times New Roman" w:hAnsi="Times New Roman" w:cs="Times New Roman"/>
          <w:lang w:val="tr-TR"/>
        </w:rPr>
        <w:t xml:space="preserve">2023 verilerine göre ABD, yaklaşık 60 milyar dolar ile en büyük mobilya ithalatçısı konumunda iken, onu </w:t>
      </w:r>
      <w:r w:rsidR="00573B47">
        <w:rPr>
          <w:rFonts w:ascii="Times New Roman" w:hAnsi="Times New Roman" w:cs="Times New Roman"/>
          <w:lang w:val="tr-TR"/>
        </w:rPr>
        <w:t xml:space="preserve">yaklaşık </w:t>
      </w:r>
      <w:r w:rsidR="007A3ECA">
        <w:rPr>
          <w:rFonts w:ascii="Times New Roman" w:hAnsi="Times New Roman" w:cs="Times New Roman"/>
          <w:lang w:val="tr-TR"/>
        </w:rPr>
        <w:t>17 milyar dolarla Almanya, 10 milyar dolarla Birleşik Krallık ve Fransa</w:t>
      </w:r>
      <w:r w:rsidR="00573B47">
        <w:rPr>
          <w:rFonts w:ascii="Times New Roman" w:hAnsi="Times New Roman" w:cs="Times New Roman"/>
          <w:lang w:val="tr-TR"/>
        </w:rPr>
        <w:t xml:space="preserve">, 7 milyar dolarla Kanada ve Japonya, 6 milyar dolarla Hollanda ve 4 milyar dolarla İspanya, İsviçre ve </w:t>
      </w:r>
      <w:proofErr w:type="spellStart"/>
      <w:r w:rsidR="00573B47">
        <w:rPr>
          <w:rFonts w:ascii="Times New Roman" w:hAnsi="Times New Roman" w:cs="Times New Roman"/>
          <w:lang w:val="tr-TR"/>
        </w:rPr>
        <w:t>Çekya</w:t>
      </w:r>
      <w:proofErr w:type="spellEnd"/>
      <w:r w:rsidR="00573B47">
        <w:rPr>
          <w:rFonts w:ascii="Times New Roman" w:hAnsi="Times New Roman" w:cs="Times New Roman"/>
          <w:lang w:val="tr-TR"/>
        </w:rPr>
        <w:t xml:space="preserve"> izlemektedir. Aynı yılın verilerine göre 75 milyar dolarla dünyada en büyük mobilya ihracatçısı olan Çin’i izleyen Almanya 14 milyar dolar, İtalya 13 milyar dolar, Polonya ve Meksika yaklaşık 11 milyar dolar, ABD 7 milyar dolar, Kanada ve </w:t>
      </w:r>
      <w:proofErr w:type="spellStart"/>
      <w:r w:rsidR="00573B47">
        <w:rPr>
          <w:rFonts w:ascii="Times New Roman" w:hAnsi="Times New Roman" w:cs="Times New Roman"/>
          <w:lang w:val="tr-TR"/>
        </w:rPr>
        <w:t>Çekya</w:t>
      </w:r>
      <w:proofErr w:type="spellEnd"/>
      <w:r w:rsidR="00573B47">
        <w:rPr>
          <w:rFonts w:ascii="Times New Roman" w:hAnsi="Times New Roman" w:cs="Times New Roman"/>
          <w:lang w:val="tr-TR"/>
        </w:rPr>
        <w:t xml:space="preserve"> yaklaşık 5 milyar dolar ve Türkiye 4,5 milyar dolar</w:t>
      </w:r>
      <w:r w:rsidR="00AC54DE">
        <w:rPr>
          <w:rFonts w:ascii="Times New Roman" w:hAnsi="Times New Roman" w:cs="Times New Roman"/>
          <w:lang w:val="tr-TR"/>
        </w:rPr>
        <w:t>lık</w:t>
      </w:r>
      <w:r w:rsidR="00573B47">
        <w:rPr>
          <w:rFonts w:ascii="Times New Roman" w:hAnsi="Times New Roman" w:cs="Times New Roman"/>
          <w:lang w:val="tr-TR"/>
        </w:rPr>
        <w:t xml:space="preserve"> </w:t>
      </w:r>
      <w:r w:rsidR="00AC54DE">
        <w:rPr>
          <w:rFonts w:ascii="Times New Roman" w:hAnsi="Times New Roman" w:cs="Times New Roman"/>
          <w:lang w:val="tr-TR"/>
        </w:rPr>
        <w:t>ihracat gerçekleştirmişlerdir.</w:t>
      </w:r>
      <w:r w:rsidR="00573B47">
        <w:rPr>
          <w:rFonts w:ascii="Times New Roman" w:hAnsi="Times New Roman" w:cs="Times New Roman"/>
          <w:lang w:val="tr-TR"/>
        </w:rPr>
        <w:t xml:space="preserve"> </w:t>
      </w:r>
    </w:p>
    <w:p w:rsidR="00D921FA" w:rsidRPr="009C7174" w:rsidRDefault="00D921FA" w:rsidP="009C7174">
      <w:pPr>
        <w:pStyle w:val="ListeParagraf"/>
        <w:ind w:left="0" w:firstLine="709"/>
        <w:jc w:val="both"/>
        <w:rPr>
          <w:rFonts w:ascii="Times New Roman" w:hAnsi="Times New Roman" w:cs="Times New Roman"/>
          <w:lang w:val="tr-TR"/>
        </w:rPr>
      </w:pPr>
    </w:p>
    <w:p w:rsidR="00AE5779" w:rsidRDefault="00AE5779" w:rsidP="005F5034">
      <w:pPr>
        <w:pStyle w:val="ListeParagraf"/>
        <w:ind w:left="0" w:firstLine="709"/>
        <w:jc w:val="both"/>
        <w:rPr>
          <w:rFonts w:ascii="Times New Roman" w:hAnsi="Times New Roman" w:cs="Times New Roman"/>
          <w:lang w:val="tr-TR"/>
        </w:rPr>
      </w:pPr>
      <w:proofErr w:type="gramStart"/>
      <w:r>
        <w:rPr>
          <w:rFonts w:ascii="Times New Roman" w:hAnsi="Times New Roman" w:cs="Times New Roman"/>
          <w:lang w:val="tr-TR"/>
        </w:rPr>
        <w:t xml:space="preserve">Sektörde 2020 yılında </w:t>
      </w:r>
      <w:r w:rsidR="001318C5">
        <w:rPr>
          <w:rFonts w:ascii="Times New Roman" w:hAnsi="Times New Roman" w:cs="Times New Roman"/>
          <w:lang w:val="tr-TR"/>
        </w:rPr>
        <w:t xml:space="preserve">mobilya sektöründe ithalat ve </w:t>
      </w:r>
      <w:r>
        <w:rPr>
          <w:rFonts w:ascii="Times New Roman" w:hAnsi="Times New Roman" w:cs="Times New Roman"/>
          <w:lang w:val="tr-TR"/>
        </w:rPr>
        <w:t xml:space="preserve">ihracat rakamlarındaki belirgin yükselişin sebebi olarak gösterilen elektronik ticarete ilişkin olarak </w:t>
      </w:r>
      <w:proofErr w:type="spellStart"/>
      <w:r w:rsidR="001318C5">
        <w:rPr>
          <w:rFonts w:ascii="Times New Roman" w:hAnsi="Times New Roman" w:cs="Times New Roman"/>
          <w:lang w:val="tr-TR"/>
        </w:rPr>
        <w:t>Statista</w:t>
      </w:r>
      <w:proofErr w:type="spellEnd"/>
      <w:r w:rsidR="001318C5">
        <w:rPr>
          <w:rFonts w:ascii="Times New Roman" w:hAnsi="Times New Roman" w:cs="Times New Roman"/>
          <w:lang w:val="tr-TR"/>
        </w:rPr>
        <w:t xml:space="preserve"> tarafından 2017-2029 yılları için yapılan ve 2024 sonrasına ilişkin beklentileri de içeren analize göre 2017 yılında 400 milyon dolar civarında gerçekleşen</w:t>
      </w:r>
      <w:r w:rsidR="0091033A">
        <w:rPr>
          <w:rFonts w:ascii="Times New Roman" w:hAnsi="Times New Roman" w:cs="Times New Roman"/>
          <w:lang w:val="tr-TR"/>
        </w:rPr>
        <w:t xml:space="preserve"> mobilya sektörü elektronik</w:t>
      </w:r>
      <w:r w:rsidR="001318C5">
        <w:rPr>
          <w:rFonts w:ascii="Times New Roman" w:hAnsi="Times New Roman" w:cs="Times New Roman"/>
          <w:lang w:val="tr-TR"/>
        </w:rPr>
        <w:t xml:space="preserve">-ticaret hacminin 2029 yılında 1,5 milyar dolara yaklaşacağı tahmin edilmektedir. </w:t>
      </w:r>
      <w:proofErr w:type="gramEnd"/>
    </w:p>
    <w:p w:rsidR="00D921FA" w:rsidRDefault="00D921FA" w:rsidP="005F5034">
      <w:pPr>
        <w:pStyle w:val="ListeParagraf"/>
        <w:ind w:left="0" w:firstLine="709"/>
        <w:jc w:val="both"/>
        <w:rPr>
          <w:rFonts w:ascii="Times New Roman" w:hAnsi="Times New Roman" w:cs="Times New Roman"/>
          <w:lang w:val="tr-TR"/>
        </w:rPr>
      </w:pPr>
    </w:p>
    <w:p w:rsidR="00D921FA" w:rsidRPr="00D921FA" w:rsidRDefault="00D921FA" w:rsidP="00D921FA">
      <w:pPr>
        <w:pStyle w:val="ListeParagraf"/>
        <w:ind w:left="0"/>
        <w:jc w:val="both"/>
        <w:rPr>
          <w:rFonts w:ascii="Times New Roman" w:hAnsi="Times New Roman" w:cs="Times New Roman"/>
          <w:b/>
          <w:lang w:val="tr-TR"/>
        </w:rPr>
      </w:pPr>
      <w:r w:rsidRPr="00D921FA">
        <w:rPr>
          <w:rFonts w:ascii="Times New Roman" w:hAnsi="Times New Roman" w:cs="Times New Roman"/>
          <w:b/>
          <w:lang w:val="tr-TR"/>
        </w:rPr>
        <w:t>1.1.2 Güney Afrika’da Mobilya Sektörü</w:t>
      </w:r>
    </w:p>
    <w:p w:rsidR="00AC54DE" w:rsidRDefault="00AC54DE" w:rsidP="005F5034">
      <w:pPr>
        <w:pStyle w:val="ListeParagraf"/>
        <w:ind w:left="0" w:firstLine="709"/>
        <w:jc w:val="both"/>
        <w:rPr>
          <w:rFonts w:ascii="Times New Roman" w:hAnsi="Times New Roman" w:cs="Times New Roman"/>
          <w:lang w:val="tr-TR"/>
        </w:rPr>
      </w:pPr>
    </w:p>
    <w:p w:rsidR="007A3ECA" w:rsidRDefault="00812DC8" w:rsidP="004C7086">
      <w:pPr>
        <w:pStyle w:val="ListeParagraf"/>
        <w:ind w:left="0" w:firstLine="709"/>
        <w:jc w:val="both"/>
        <w:rPr>
          <w:rFonts w:ascii="Times New Roman" w:hAnsi="Times New Roman" w:cs="Times New Roman"/>
          <w:lang w:val="tr-TR"/>
        </w:rPr>
      </w:pPr>
      <w:r>
        <w:rPr>
          <w:rFonts w:ascii="Times New Roman" w:hAnsi="Times New Roman" w:cs="Times New Roman"/>
          <w:lang w:val="tr-TR"/>
        </w:rPr>
        <w:t xml:space="preserve">Güney Afrika Cumhuriyeti </w:t>
      </w:r>
      <w:r w:rsidR="005C79E7">
        <w:rPr>
          <w:rFonts w:ascii="Times New Roman" w:hAnsi="Times New Roman" w:cs="Times New Roman"/>
          <w:lang w:val="tr-TR"/>
        </w:rPr>
        <w:t xml:space="preserve">(GAC) </w:t>
      </w:r>
      <w:r>
        <w:rPr>
          <w:rFonts w:ascii="Times New Roman" w:hAnsi="Times New Roman" w:cs="Times New Roman"/>
          <w:lang w:val="tr-TR"/>
        </w:rPr>
        <w:t xml:space="preserve">pazarı özelinde mobilya sektörü 2019 yılında Başkan </w:t>
      </w:r>
      <w:proofErr w:type="spellStart"/>
      <w:r>
        <w:rPr>
          <w:rFonts w:ascii="Times New Roman" w:hAnsi="Times New Roman" w:cs="Times New Roman"/>
          <w:lang w:val="tr-TR"/>
        </w:rPr>
        <w:t>Ramaphosa’nın</w:t>
      </w:r>
      <w:proofErr w:type="spellEnd"/>
      <w:r>
        <w:rPr>
          <w:rFonts w:ascii="Times New Roman" w:hAnsi="Times New Roman" w:cs="Times New Roman"/>
          <w:lang w:val="tr-TR"/>
        </w:rPr>
        <w:t xml:space="preserve"> ortaya koyduğu “yeniden tasarlanan endüstriyel </w:t>
      </w:r>
      <w:proofErr w:type="spellStart"/>
      <w:r>
        <w:rPr>
          <w:rFonts w:ascii="Times New Roman" w:hAnsi="Times New Roman" w:cs="Times New Roman"/>
          <w:lang w:val="tr-TR"/>
        </w:rPr>
        <w:t>strateji”nin</w:t>
      </w:r>
      <w:proofErr w:type="spellEnd"/>
      <w:r>
        <w:rPr>
          <w:rFonts w:ascii="Times New Roman" w:hAnsi="Times New Roman" w:cs="Times New Roman"/>
          <w:lang w:val="tr-TR"/>
        </w:rPr>
        <w:t xml:space="preserve"> uygulamasının bir parçası olarak ele alınmaktadır</w:t>
      </w:r>
      <w:r>
        <w:rPr>
          <w:rStyle w:val="DipnotBavurusu"/>
          <w:rFonts w:ascii="Times New Roman" w:hAnsi="Times New Roman" w:cs="Times New Roman"/>
          <w:lang w:val="tr-TR"/>
        </w:rPr>
        <w:footnoteReference w:id="2"/>
      </w:r>
      <w:r w:rsidR="005C79E7">
        <w:rPr>
          <w:rFonts w:ascii="Times New Roman" w:hAnsi="Times New Roman" w:cs="Times New Roman"/>
          <w:lang w:val="tr-TR"/>
        </w:rPr>
        <w:t xml:space="preserve">. </w:t>
      </w:r>
      <w:proofErr w:type="gramStart"/>
      <w:r w:rsidR="005C79E7">
        <w:rPr>
          <w:rFonts w:ascii="Times New Roman" w:hAnsi="Times New Roman" w:cs="Times New Roman"/>
          <w:lang w:val="tr-TR"/>
        </w:rPr>
        <w:t xml:space="preserve">GAC Ticaret Bakanlığı’nın (DTIC) hazırladığı 2021 tarihli Güney Afrika Mobilya Endüstrisi Master Planında, mobilya sektörünün emek yoğun bir sektör olması bakımından ülkenin tamamında istihdam imkânı yaratabilme potansiyeli taşıması, üretimde yerel malzeme ve işçilik kullanılabilmesi, ülkeye özgü tasarımların teşhirine imkân sağlaması gibi özellikleri sebebiyle genişletilmesi ve geliştirilmesi gereken bir sektör olarak tanımlanmaktadır. </w:t>
      </w:r>
      <w:proofErr w:type="gramEnd"/>
    </w:p>
    <w:p w:rsidR="00804C95" w:rsidRDefault="00804C95" w:rsidP="004C7086">
      <w:pPr>
        <w:pStyle w:val="ListeParagraf"/>
        <w:ind w:left="0" w:firstLine="709"/>
        <w:jc w:val="both"/>
        <w:rPr>
          <w:rFonts w:ascii="Times New Roman" w:hAnsi="Times New Roman" w:cs="Times New Roman"/>
          <w:lang w:val="tr-TR"/>
        </w:rPr>
      </w:pPr>
    </w:p>
    <w:p w:rsidR="00804C95" w:rsidRDefault="00496AF1" w:rsidP="004C7086">
      <w:pPr>
        <w:pStyle w:val="ListeParagraf"/>
        <w:ind w:left="0" w:firstLine="709"/>
        <w:jc w:val="both"/>
        <w:rPr>
          <w:rFonts w:ascii="Times New Roman" w:hAnsi="Times New Roman" w:cs="Times New Roman"/>
          <w:lang w:val="tr-TR"/>
        </w:rPr>
      </w:pPr>
      <w:r>
        <w:rPr>
          <w:rFonts w:ascii="Times New Roman" w:hAnsi="Times New Roman" w:cs="Times New Roman"/>
          <w:lang w:val="tr-TR"/>
        </w:rPr>
        <w:t>Master Plana göre sektör</w:t>
      </w:r>
      <w:r w:rsidR="004507D4">
        <w:rPr>
          <w:rFonts w:ascii="Times New Roman" w:hAnsi="Times New Roman" w:cs="Times New Roman"/>
          <w:lang w:val="tr-TR"/>
        </w:rPr>
        <w:t>,</w:t>
      </w:r>
      <w:r>
        <w:rPr>
          <w:rFonts w:ascii="Times New Roman" w:hAnsi="Times New Roman" w:cs="Times New Roman"/>
          <w:lang w:val="tr-TR"/>
        </w:rPr>
        <w:t xml:space="preserve"> geçen 10 yılda, özellikle de 2008 krizinden itibaren, belirgin bir yavaşlama yaşamış ve ithalata bağımlı hale gelmiştir. Aynı Plana göre ithalat</w:t>
      </w:r>
      <w:r w:rsidR="004507D4">
        <w:rPr>
          <w:rFonts w:ascii="Times New Roman" w:hAnsi="Times New Roman" w:cs="Times New Roman"/>
          <w:lang w:val="tr-TR"/>
        </w:rPr>
        <w:t>ta</w:t>
      </w:r>
      <w:r>
        <w:rPr>
          <w:rFonts w:ascii="Times New Roman" w:hAnsi="Times New Roman" w:cs="Times New Roman"/>
          <w:lang w:val="tr-TR"/>
        </w:rPr>
        <w:t xml:space="preserve"> 2010 yılından 2019 yılına kadar </w:t>
      </w:r>
      <w:r w:rsidR="004507D4">
        <w:rPr>
          <w:rFonts w:ascii="Times New Roman" w:hAnsi="Times New Roman" w:cs="Times New Roman"/>
          <w:lang w:val="tr-TR"/>
        </w:rPr>
        <w:t>sürekli bir artış yaşanmış</w:t>
      </w:r>
      <w:r>
        <w:rPr>
          <w:rFonts w:ascii="Times New Roman" w:hAnsi="Times New Roman" w:cs="Times New Roman"/>
          <w:lang w:val="tr-TR"/>
        </w:rPr>
        <w:t xml:space="preserve">, 2020 yılında ise </w:t>
      </w:r>
      <w:r w:rsidR="004507D4">
        <w:rPr>
          <w:rFonts w:ascii="Times New Roman" w:hAnsi="Times New Roman" w:cs="Times New Roman"/>
          <w:lang w:val="tr-TR"/>
        </w:rPr>
        <w:t>belirgin bir düşüş gözlemlenmiştir.</w:t>
      </w:r>
    </w:p>
    <w:p w:rsidR="00691F8C" w:rsidRDefault="004507D4" w:rsidP="004C7086">
      <w:pPr>
        <w:pStyle w:val="ListeParagraf"/>
        <w:ind w:left="0" w:firstLine="709"/>
        <w:jc w:val="both"/>
        <w:rPr>
          <w:rFonts w:ascii="Times New Roman" w:hAnsi="Times New Roman" w:cs="Times New Roman"/>
          <w:lang w:val="tr-TR"/>
        </w:rPr>
      </w:pPr>
      <w:r>
        <w:rPr>
          <w:rFonts w:ascii="Times New Roman" w:hAnsi="Times New Roman" w:cs="Times New Roman"/>
          <w:lang w:val="tr-TR"/>
        </w:rPr>
        <w:t xml:space="preserve"> </w:t>
      </w:r>
    </w:p>
    <w:p w:rsidR="00496AF1" w:rsidRDefault="00691F8C" w:rsidP="004C7086">
      <w:pPr>
        <w:pStyle w:val="ListeParagraf"/>
        <w:ind w:left="0" w:firstLine="709"/>
        <w:jc w:val="both"/>
        <w:rPr>
          <w:rFonts w:ascii="Times New Roman" w:hAnsi="Times New Roman" w:cs="Times New Roman"/>
          <w:lang w:val="tr-TR"/>
        </w:rPr>
      </w:pPr>
      <w:r>
        <w:rPr>
          <w:rFonts w:ascii="Times New Roman" w:hAnsi="Times New Roman" w:cs="Times New Roman"/>
          <w:lang w:val="tr-TR"/>
        </w:rPr>
        <w:t>Planda, s</w:t>
      </w:r>
      <w:r w:rsidR="00717BB0">
        <w:rPr>
          <w:rFonts w:ascii="Times New Roman" w:hAnsi="Times New Roman" w:cs="Times New Roman"/>
          <w:lang w:val="tr-TR"/>
        </w:rPr>
        <w:t>ektördeki istihdam rakamları</w:t>
      </w:r>
      <w:r>
        <w:rPr>
          <w:rFonts w:ascii="Times New Roman" w:hAnsi="Times New Roman" w:cs="Times New Roman"/>
          <w:lang w:val="tr-TR"/>
        </w:rPr>
        <w:t>nın</w:t>
      </w:r>
      <w:r w:rsidR="00717BB0">
        <w:rPr>
          <w:rFonts w:ascii="Times New Roman" w:hAnsi="Times New Roman" w:cs="Times New Roman"/>
          <w:lang w:val="tr-TR"/>
        </w:rPr>
        <w:t xml:space="preserve"> da 2008’den itibaren azal</w:t>
      </w:r>
      <w:r>
        <w:rPr>
          <w:rFonts w:ascii="Times New Roman" w:hAnsi="Times New Roman" w:cs="Times New Roman"/>
          <w:lang w:val="tr-TR"/>
        </w:rPr>
        <w:t xml:space="preserve">dığı belirtilmektedir. 2020 yılı için çalışan sayısına göre yapılan analize göre sektörde 1-9 kişi çalıştıran firmalar toplam firma sayısının %61’ini, 10-29 kişi çalıştıran firmalar %25’ini, 100 kişi ve üzeri çalıştıran firmalar ise toplam firmaların sadece %3’ünü oluşturmaktadır. 100 ve üzeri işçi istihdam eden firmaların toplam sayısı 35 olup, bunların 19 tanesi ticaretin en yoğun olduğu </w:t>
      </w:r>
      <w:proofErr w:type="spellStart"/>
      <w:r w:rsidR="00B73F02">
        <w:rPr>
          <w:rFonts w:ascii="Times New Roman" w:hAnsi="Times New Roman" w:cs="Times New Roman"/>
          <w:lang w:val="tr-TR"/>
        </w:rPr>
        <w:t>Johannesburg</w:t>
      </w:r>
      <w:proofErr w:type="spellEnd"/>
      <w:r w:rsidR="00B73F02">
        <w:rPr>
          <w:rFonts w:ascii="Times New Roman" w:hAnsi="Times New Roman" w:cs="Times New Roman"/>
          <w:lang w:val="tr-TR"/>
        </w:rPr>
        <w:t xml:space="preserve"> şehrini de</w:t>
      </w:r>
      <w:r>
        <w:rPr>
          <w:rFonts w:ascii="Times New Roman" w:hAnsi="Times New Roman" w:cs="Times New Roman"/>
          <w:lang w:val="tr-TR"/>
        </w:rPr>
        <w:t xml:space="preserve"> barındıran </w:t>
      </w:r>
      <w:proofErr w:type="spellStart"/>
      <w:r>
        <w:rPr>
          <w:rFonts w:ascii="Times New Roman" w:hAnsi="Times New Roman" w:cs="Times New Roman"/>
          <w:lang w:val="tr-TR"/>
        </w:rPr>
        <w:t>Gauteng</w:t>
      </w:r>
      <w:proofErr w:type="spellEnd"/>
      <w:r>
        <w:rPr>
          <w:rFonts w:ascii="Times New Roman" w:hAnsi="Times New Roman" w:cs="Times New Roman"/>
          <w:lang w:val="tr-TR"/>
        </w:rPr>
        <w:t xml:space="preserve"> eyaletinde bulunmaktadırlar. Arz zincirinin büyük kısmında siyahiler varlık gösteremezken, bu durum </w:t>
      </w:r>
      <w:r w:rsidR="00785F48">
        <w:rPr>
          <w:rFonts w:ascii="Times New Roman" w:hAnsi="Times New Roman" w:cs="Times New Roman"/>
          <w:lang w:val="tr-TR"/>
        </w:rPr>
        <w:t>orta ölçekli hammadde temin edici</w:t>
      </w:r>
      <w:r w:rsidR="00B73F02">
        <w:rPr>
          <w:rFonts w:ascii="Times New Roman" w:hAnsi="Times New Roman" w:cs="Times New Roman"/>
          <w:lang w:val="tr-TR"/>
        </w:rPr>
        <w:t>ler</w:t>
      </w:r>
      <w:r w:rsidR="00785F48">
        <w:rPr>
          <w:rFonts w:ascii="Times New Roman" w:hAnsi="Times New Roman" w:cs="Times New Roman"/>
          <w:lang w:val="tr-TR"/>
        </w:rPr>
        <w:t xml:space="preserve"> ve üreticiler arasında tersine görüntü çizmektedir. </w:t>
      </w:r>
    </w:p>
    <w:p w:rsidR="00804C95" w:rsidRDefault="00804C95" w:rsidP="004C7086">
      <w:pPr>
        <w:pStyle w:val="ListeParagraf"/>
        <w:ind w:left="0" w:firstLine="709"/>
        <w:jc w:val="both"/>
        <w:rPr>
          <w:rFonts w:ascii="Times New Roman" w:hAnsi="Times New Roman" w:cs="Times New Roman"/>
          <w:lang w:val="tr-TR"/>
        </w:rPr>
      </w:pPr>
    </w:p>
    <w:p w:rsidR="005F30D6" w:rsidRDefault="000876A9" w:rsidP="00D74720">
      <w:pPr>
        <w:pStyle w:val="ListeParagraf"/>
        <w:ind w:left="0" w:firstLine="709"/>
        <w:jc w:val="both"/>
        <w:rPr>
          <w:rFonts w:ascii="Times New Roman" w:hAnsi="Times New Roman" w:cs="Times New Roman"/>
          <w:lang w:val="tr-TR"/>
        </w:rPr>
      </w:pPr>
      <w:r>
        <w:rPr>
          <w:rFonts w:ascii="Times New Roman" w:hAnsi="Times New Roman" w:cs="Times New Roman"/>
          <w:lang w:val="tr-TR"/>
        </w:rPr>
        <w:t xml:space="preserve">Sektöre girdi temin eden </w:t>
      </w:r>
      <w:r w:rsidR="00956323">
        <w:rPr>
          <w:rFonts w:ascii="Times New Roman" w:hAnsi="Times New Roman" w:cs="Times New Roman"/>
          <w:lang w:val="tr-TR"/>
        </w:rPr>
        <w:t>alt</w:t>
      </w:r>
      <w:r>
        <w:rPr>
          <w:rFonts w:ascii="Times New Roman" w:hAnsi="Times New Roman" w:cs="Times New Roman"/>
          <w:lang w:val="tr-TR"/>
        </w:rPr>
        <w:t xml:space="preserve"> </w:t>
      </w:r>
      <w:r w:rsidR="00956323">
        <w:rPr>
          <w:rFonts w:ascii="Times New Roman" w:hAnsi="Times New Roman" w:cs="Times New Roman"/>
          <w:lang w:val="tr-TR"/>
        </w:rPr>
        <w:t xml:space="preserve">sektör </w:t>
      </w:r>
      <w:r>
        <w:rPr>
          <w:rFonts w:ascii="Times New Roman" w:hAnsi="Times New Roman" w:cs="Times New Roman"/>
          <w:lang w:val="tr-TR"/>
        </w:rPr>
        <w:t>üretim kalemleri aras</w:t>
      </w:r>
      <w:r w:rsidR="00956323">
        <w:rPr>
          <w:rFonts w:ascii="Times New Roman" w:hAnsi="Times New Roman" w:cs="Times New Roman"/>
          <w:lang w:val="tr-TR"/>
        </w:rPr>
        <w:t>ında MDF pano, masif kereste, dö</w:t>
      </w:r>
      <w:r>
        <w:rPr>
          <w:rFonts w:ascii="Times New Roman" w:hAnsi="Times New Roman" w:cs="Times New Roman"/>
          <w:lang w:val="tr-TR"/>
        </w:rPr>
        <w:t>şemelik kumaş</w:t>
      </w:r>
      <w:r w:rsidR="00956323">
        <w:rPr>
          <w:rFonts w:ascii="Times New Roman" w:hAnsi="Times New Roman" w:cs="Times New Roman"/>
          <w:lang w:val="tr-TR"/>
        </w:rPr>
        <w:t xml:space="preserve">, deri, şilte ve yatak gelirken, sektörün ilişkili olduğu yan sektör grupları arasında salon ve tefrişat, tamamlayıcı ürünler, </w:t>
      </w:r>
      <w:r w:rsidR="0004462E">
        <w:rPr>
          <w:rFonts w:ascii="Times New Roman" w:hAnsi="Times New Roman" w:cs="Times New Roman"/>
          <w:lang w:val="tr-TR"/>
        </w:rPr>
        <w:t xml:space="preserve">mutfak ve gömme dolap sistemleri, ofis ve okul mobilyaları bulunmaktadır. Planda bu sektörlerden masif kereste, deri kaplama, şilte ve yatak kendine yetebilen sektörler olarak tanımlanırken, salon ve tefrişat, mutfak ve gömme dolap sistemleri ile tamamlayıcı ürünler gelişmekte olan gruplar arasında gösterilmiş, döşemelik kumaş ile okul ve ofis mobilyaları desteklenmesi gereken sektörler olarak belirtilmiştir.  </w:t>
      </w:r>
    </w:p>
    <w:p w:rsidR="00804C95" w:rsidRDefault="00804C95" w:rsidP="00D74720">
      <w:pPr>
        <w:pStyle w:val="ListeParagraf"/>
        <w:ind w:left="0" w:firstLine="709"/>
        <w:jc w:val="both"/>
        <w:rPr>
          <w:rFonts w:ascii="Times New Roman" w:hAnsi="Times New Roman" w:cs="Times New Roman"/>
          <w:lang w:val="tr-TR"/>
        </w:rPr>
      </w:pPr>
    </w:p>
    <w:p w:rsidR="00F54D9C" w:rsidRDefault="00F54D9C" w:rsidP="00D74720">
      <w:pPr>
        <w:pStyle w:val="ListeParagraf"/>
        <w:ind w:left="0" w:firstLine="709"/>
        <w:jc w:val="both"/>
        <w:rPr>
          <w:rFonts w:ascii="Times New Roman" w:hAnsi="Times New Roman" w:cs="Times New Roman"/>
          <w:lang w:val="tr-TR"/>
        </w:rPr>
      </w:pPr>
      <w:r>
        <w:rPr>
          <w:rFonts w:ascii="Times New Roman" w:hAnsi="Times New Roman" w:cs="Times New Roman"/>
          <w:lang w:val="tr-TR"/>
        </w:rPr>
        <w:t>Master Plan, sektörün ayağa kaldırılması için beş basamaklı bir yol haritası öngörmektedir:</w:t>
      </w:r>
    </w:p>
    <w:p w:rsidR="00804C95" w:rsidRDefault="00804C95" w:rsidP="00D74720">
      <w:pPr>
        <w:pStyle w:val="ListeParagraf"/>
        <w:ind w:left="0" w:firstLine="709"/>
        <w:jc w:val="both"/>
        <w:rPr>
          <w:rFonts w:ascii="Times New Roman" w:hAnsi="Times New Roman" w:cs="Times New Roman"/>
          <w:lang w:val="tr-TR"/>
        </w:rPr>
      </w:pPr>
    </w:p>
    <w:p w:rsidR="00F54D9C" w:rsidRDefault="00F54D9C" w:rsidP="00F54D9C">
      <w:pPr>
        <w:pStyle w:val="ListeParagraf"/>
        <w:numPr>
          <w:ilvl w:val="0"/>
          <w:numId w:val="2"/>
        </w:numPr>
        <w:jc w:val="both"/>
        <w:rPr>
          <w:rFonts w:ascii="Times New Roman" w:hAnsi="Times New Roman" w:cs="Times New Roman"/>
          <w:lang w:val="tr-TR"/>
        </w:rPr>
      </w:pPr>
      <w:r>
        <w:rPr>
          <w:rFonts w:ascii="Times New Roman" w:hAnsi="Times New Roman" w:cs="Times New Roman"/>
          <w:lang w:val="tr-TR"/>
        </w:rPr>
        <w:t xml:space="preserve">Yerel üretim ve </w:t>
      </w:r>
      <w:r w:rsidR="006913E2">
        <w:rPr>
          <w:rFonts w:ascii="Times New Roman" w:hAnsi="Times New Roman" w:cs="Times New Roman"/>
          <w:lang w:val="tr-TR"/>
        </w:rPr>
        <w:t>büyük arz zincirleri için talep oluşturmak</w:t>
      </w:r>
    </w:p>
    <w:p w:rsidR="006913E2" w:rsidRDefault="006913E2" w:rsidP="00F54D9C">
      <w:pPr>
        <w:pStyle w:val="ListeParagraf"/>
        <w:numPr>
          <w:ilvl w:val="0"/>
          <w:numId w:val="2"/>
        </w:numPr>
        <w:jc w:val="both"/>
        <w:rPr>
          <w:rFonts w:ascii="Times New Roman" w:hAnsi="Times New Roman" w:cs="Times New Roman"/>
          <w:lang w:val="tr-TR"/>
        </w:rPr>
      </w:pPr>
      <w:r>
        <w:rPr>
          <w:rFonts w:ascii="Times New Roman" w:hAnsi="Times New Roman" w:cs="Times New Roman"/>
          <w:lang w:val="tr-TR"/>
        </w:rPr>
        <w:t>Salon/yaşam alanı ve tamamlayıcı ürünlerde küçük ve orta ölçekli işletmeleri büyütmek</w:t>
      </w:r>
    </w:p>
    <w:p w:rsidR="006913E2" w:rsidRDefault="006913E2" w:rsidP="00F54D9C">
      <w:pPr>
        <w:pStyle w:val="ListeParagraf"/>
        <w:numPr>
          <w:ilvl w:val="0"/>
          <w:numId w:val="2"/>
        </w:numPr>
        <w:jc w:val="both"/>
        <w:rPr>
          <w:rFonts w:ascii="Times New Roman" w:hAnsi="Times New Roman" w:cs="Times New Roman"/>
          <w:lang w:val="tr-TR"/>
        </w:rPr>
      </w:pPr>
      <w:r>
        <w:rPr>
          <w:rFonts w:ascii="Times New Roman" w:hAnsi="Times New Roman" w:cs="Times New Roman"/>
          <w:lang w:val="tr-TR"/>
        </w:rPr>
        <w:t xml:space="preserve">Ticaretten kaynaklanan olumsuzlukları gidermek (özellikle ülkede üretilmeyen ve ithal edilen dokuma kumaşlarında fiyatların düşmesine yardımcı olmak, bazı ürünlerdeki yasal olmayan ticaretin önüne geçmek, ithal ürünlere standart getirmek, özellikle </w:t>
      </w:r>
      <w:proofErr w:type="spellStart"/>
      <w:r>
        <w:rPr>
          <w:rFonts w:ascii="Times New Roman" w:hAnsi="Times New Roman" w:cs="Times New Roman"/>
          <w:lang w:val="tr-TR"/>
        </w:rPr>
        <w:t>AfCTA</w:t>
      </w:r>
      <w:proofErr w:type="spellEnd"/>
      <w:r>
        <w:rPr>
          <w:rFonts w:ascii="Times New Roman" w:hAnsi="Times New Roman" w:cs="Times New Roman"/>
          <w:lang w:val="tr-TR"/>
        </w:rPr>
        <w:t xml:space="preserve"> aracılığıyla ihracatı arttırmak)</w:t>
      </w:r>
    </w:p>
    <w:p w:rsidR="006913E2" w:rsidRDefault="006913E2" w:rsidP="00F54D9C">
      <w:pPr>
        <w:pStyle w:val="ListeParagraf"/>
        <w:numPr>
          <w:ilvl w:val="0"/>
          <w:numId w:val="2"/>
        </w:numPr>
        <w:jc w:val="both"/>
        <w:rPr>
          <w:rFonts w:ascii="Times New Roman" w:hAnsi="Times New Roman" w:cs="Times New Roman"/>
          <w:lang w:val="tr-TR"/>
        </w:rPr>
      </w:pPr>
      <w:r>
        <w:rPr>
          <w:rFonts w:ascii="Times New Roman" w:hAnsi="Times New Roman" w:cs="Times New Roman"/>
          <w:lang w:val="tr-TR"/>
        </w:rPr>
        <w:t>Hammadde sıkıntısı yaşanan noktaları tespit etmek</w:t>
      </w:r>
    </w:p>
    <w:p w:rsidR="006913E2" w:rsidRDefault="00286967" w:rsidP="00F54D9C">
      <w:pPr>
        <w:pStyle w:val="ListeParagraf"/>
        <w:numPr>
          <w:ilvl w:val="0"/>
          <w:numId w:val="2"/>
        </w:numPr>
        <w:jc w:val="both"/>
        <w:rPr>
          <w:rFonts w:ascii="Times New Roman" w:hAnsi="Times New Roman" w:cs="Times New Roman"/>
          <w:lang w:val="tr-TR"/>
        </w:rPr>
      </w:pPr>
      <w:proofErr w:type="spellStart"/>
      <w:r>
        <w:rPr>
          <w:rFonts w:ascii="Times New Roman" w:hAnsi="Times New Roman" w:cs="Times New Roman"/>
          <w:lang w:val="tr-TR"/>
        </w:rPr>
        <w:t>Sektörel</w:t>
      </w:r>
      <w:proofErr w:type="spellEnd"/>
      <w:r>
        <w:rPr>
          <w:rFonts w:ascii="Times New Roman" w:hAnsi="Times New Roman" w:cs="Times New Roman"/>
          <w:lang w:val="tr-TR"/>
        </w:rPr>
        <w:t xml:space="preserve"> beceri kapasitesini geliştirmek.</w:t>
      </w:r>
    </w:p>
    <w:p w:rsidR="00D921FA" w:rsidRDefault="00286967" w:rsidP="00D921FA">
      <w:pPr>
        <w:ind w:firstLine="360"/>
        <w:jc w:val="both"/>
        <w:rPr>
          <w:rFonts w:ascii="Times New Roman" w:hAnsi="Times New Roman" w:cs="Times New Roman"/>
          <w:lang w:val="tr-TR"/>
        </w:rPr>
      </w:pPr>
      <w:proofErr w:type="gramStart"/>
      <w:r>
        <w:rPr>
          <w:rFonts w:ascii="Times New Roman" w:hAnsi="Times New Roman" w:cs="Times New Roman"/>
          <w:lang w:val="tr-TR"/>
        </w:rPr>
        <w:t xml:space="preserve">2024 yılında GAC Ticaret, Sanayi ve Rekabetçilik Bakanlığınca </w:t>
      </w:r>
      <w:r w:rsidR="00AB5EB9">
        <w:rPr>
          <w:rFonts w:ascii="Times New Roman" w:hAnsi="Times New Roman" w:cs="Times New Roman"/>
          <w:lang w:val="tr-TR"/>
        </w:rPr>
        <w:t xml:space="preserve">Master Plan gerçekleşmelerine ilişkin olarak </w:t>
      </w:r>
      <w:r>
        <w:rPr>
          <w:rFonts w:ascii="Times New Roman" w:hAnsi="Times New Roman" w:cs="Times New Roman"/>
          <w:lang w:val="tr-TR"/>
        </w:rPr>
        <w:t>yapılan değerlendirmede</w:t>
      </w:r>
      <w:r>
        <w:rPr>
          <w:rStyle w:val="DipnotBavurusu"/>
          <w:rFonts w:ascii="Times New Roman" w:hAnsi="Times New Roman" w:cs="Times New Roman"/>
          <w:lang w:val="tr-TR"/>
        </w:rPr>
        <w:footnoteReference w:id="3"/>
      </w:r>
      <w:r>
        <w:rPr>
          <w:rFonts w:ascii="Times New Roman" w:hAnsi="Times New Roman" w:cs="Times New Roman"/>
          <w:lang w:val="tr-TR"/>
        </w:rPr>
        <w:t>,</w:t>
      </w:r>
      <w:r w:rsidR="00886830">
        <w:rPr>
          <w:rFonts w:ascii="Times New Roman" w:hAnsi="Times New Roman" w:cs="Times New Roman"/>
          <w:lang w:val="tr-TR"/>
        </w:rPr>
        <w:t xml:space="preserve"> </w:t>
      </w:r>
      <w:r w:rsidR="00AB5EB9">
        <w:rPr>
          <w:rFonts w:ascii="Times New Roman" w:hAnsi="Times New Roman" w:cs="Times New Roman"/>
          <w:lang w:val="tr-TR"/>
        </w:rPr>
        <w:t xml:space="preserve">beceri geliştirme planlamasının tamamlandığı, </w:t>
      </w:r>
      <w:proofErr w:type="spellStart"/>
      <w:r w:rsidR="001B329E">
        <w:rPr>
          <w:rFonts w:ascii="Times New Roman" w:hAnsi="Times New Roman" w:cs="Times New Roman"/>
          <w:lang w:val="tr-TR"/>
        </w:rPr>
        <w:t>Furntech</w:t>
      </w:r>
      <w:proofErr w:type="spellEnd"/>
      <w:r w:rsidR="001B329E">
        <w:rPr>
          <w:rFonts w:ascii="Times New Roman" w:hAnsi="Times New Roman" w:cs="Times New Roman"/>
          <w:lang w:val="tr-TR"/>
        </w:rPr>
        <w:t xml:space="preserve"> tarafından ithalatta 9403 HS Kodlu tamamlayıcı mobilya cinsi eşya için gümrük idaresine eğitim verilmesine dair sözleşme imzalandığı, </w:t>
      </w:r>
      <w:r w:rsidR="00694F06">
        <w:rPr>
          <w:rFonts w:ascii="Times New Roman" w:hAnsi="Times New Roman" w:cs="Times New Roman"/>
          <w:lang w:val="tr-TR"/>
        </w:rPr>
        <w:t xml:space="preserve">PG </w:t>
      </w:r>
      <w:proofErr w:type="spellStart"/>
      <w:r w:rsidR="00694F06">
        <w:rPr>
          <w:rFonts w:ascii="Times New Roman" w:hAnsi="Times New Roman" w:cs="Times New Roman"/>
          <w:lang w:val="tr-TR"/>
        </w:rPr>
        <w:t>Bison</w:t>
      </w:r>
      <w:proofErr w:type="spellEnd"/>
      <w:r w:rsidR="00694F06">
        <w:rPr>
          <w:rFonts w:ascii="Times New Roman" w:hAnsi="Times New Roman" w:cs="Times New Roman"/>
          <w:lang w:val="tr-TR"/>
        </w:rPr>
        <w:t xml:space="preserve"> firmasının </w:t>
      </w:r>
      <w:proofErr w:type="spellStart"/>
      <w:r w:rsidR="00694F06">
        <w:rPr>
          <w:rFonts w:ascii="Times New Roman" w:hAnsi="Times New Roman" w:cs="Times New Roman"/>
          <w:lang w:val="tr-TR"/>
        </w:rPr>
        <w:t>Mkhondo’</w:t>
      </w:r>
      <w:r w:rsidR="00194FC0">
        <w:rPr>
          <w:rFonts w:ascii="Times New Roman" w:hAnsi="Times New Roman" w:cs="Times New Roman"/>
          <w:lang w:val="tr-TR"/>
        </w:rPr>
        <w:t>da</w:t>
      </w:r>
      <w:proofErr w:type="spellEnd"/>
      <w:r w:rsidR="00194FC0">
        <w:rPr>
          <w:rFonts w:ascii="Times New Roman" w:hAnsi="Times New Roman" w:cs="Times New Roman"/>
          <w:lang w:val="tr-TR"/>
        </w:rPr>
        <w:t xml:space="preserve"> MDF üretimine başladığı, Bravo </w:t>
      </w:r>
      <w:proofErr w:type="spellStart"/>
      <w:r w:rsidR="00194FC0">
        <w:rPr>
          <w:rFonts w:ascii="Times New Roman" w:hAnsi="Times New Roman" w:cs="Times New Roman"/>
          <w:lang w:val="tr-TR"/>
        </w:rPr>
        <w:t>Brands’in</w:t>
      </w:r>
      <w:proofErr w:type="spellEnd"/>
      <w:r w:rsidR="00194FC0">
        <w:rPr>
          <w:rFonts w:ascii="Times New Roman" w:hAnsi="Times New Roman" w:cs="Times New Roman"/>
          <w:lang w:val="tr-TR"/>
        </w:rPr>
        <w:t xml:space="preserve"> Cape </w:t>
      </w:r>
      <w:proofErr w:type="spellStart"/>
      <w:r w:rsidR="00194FC0">
        <w:rPr>
          <w:rFonts w:ascii="Times New Roman" w:hAnsi="Times New Roman" w:cs="Times New Roman"/>
          <w:lang w:val="tr-TR"/>
        </w:rPr>
        <w:t>Town’da</w:t>
      </w:r>
      <w:proofErr w:type="spellEnd"/>
      <w:r w:rsidR="00194FC0">
        <w:rPr>
          <w:rFonts w:ascii="Times New Roman" w:hAnsi="Times New Roman" w:cs="Times New Roman"/>
          <w:lang w:val="tr-TR"/>
        </w:rPr>
        <w:t xml:space="preserve"> 75 milyon </w:t>
      </w:r>
      <w:proofErr w:type="spellStart"/>
      <w:r w:rsidR="00194FC0">
        <w:rPr>
          <w:rFonts w:ascii="Times New Roman" w:hAnsi="Times New Roman" w:cs="Times New Roman"/>
          <w:lang w:val="tr-TR"/>
        </w:rPr>
        <w:t>Rand’lik</w:t>
      </w:r>
      <w:proofErr w:type="spellEnd"/>
      <w:r w:rsidR="00194FC0">
        <w:rPr>
          <w:rFonts w:ascii="Times New Roman" w:hAnsi="Times New Roman" w:cs="Times New Roman"/>
          <w:lang w:val="tr-TR"/>
        </w:rPr>
        <w:t xml:space="preserve"> yeni bir fabrika açtığı, </w:t>
      </w:r>
      <w:proofErr w:type="spellStart"/>
      <w:r w:rsidR="00194FC0">
        <w:rPr>
          <w:rFonts w:ascii="Times New Roman" w:hAnsi="Times New Roman" w:cs="Times New Roman"/>
          <w:lang w:val="tr-TR"/>
        </w:rPr>
        <w:t>Restonic’in</w:t>
      </w:r>
      <w:proofErr w:type="spellEnd"/>
      <w:r w:rsidR="00194FC0">
        <w:rPr>
          <w:rFonts w:ascii="Times New Roman" w:hAnsi="Times New Roman" w:cs="Times New Roman"/>
          <w:lang w:val="tr-TR"/>
        </w:rPr>
        <w:t xml:space="preserve"> </w:t>
      </w:r>
      <w:proofErr w:type="spellStart"/>
      <w:r w:rsidR="00194FC0">
        <w:rPr>
          <w:rFonts w:ascii="Times New Roman" w:hAnsi="Times New Roman" w:cs="Times New Roman"/>
          <w:lang w:val="tr-TR"/>
        </w:rPr>
        <w:t>Durban’daki</w:t>
      </w:r>
      <w:proofErr w:type="spellEnd"/>
      <w:r w:rsidR="00194FC0">
        <w:rPr>
          <w:rFonts w:ascii="Times New Roman" w:hAnsi="Times New Roman" w:cs="Times New Roman"/>
          <w:lang w:val="tr-TR"/>
        </w:rPr>
        <w:t xml:space="preserve"> fabrikasını genişlettiği, DTIC </w:t>
      </w:r>
      <w:r w:rsidR="00194FC0">
        <w:rPr>
          <w:rFonts w:ascii="Times New Roman" w:hAnsi="Times New Roman" w:cs="Times New Roman"/>
          <w:lang w:val="tr-TR"/>
        </w:rPr>
        <w:lastRenderedPageBreak/>
        <w:t xml:space="preserve">ve Endüstriyel Kalkınma Şirketinin (IDC) bir yıl için mobilya sektörü özelinde ayırdığı 400 milyon </w:t>
      </w:r>
      <w:proofErr w:type="spellStart"/>
      <w:r w:rsidR="00194FC0">
        <w:rPr>
          <w:rFonts w:ascii="Times New Roman" w:hAnsi="Times New Roman" w:cs="Times New Roman"/>
          <w:lang w:val="tr-TR"/>
        </w:rPr>
        <w:t>Rand’</w:t>
      </w:r>
      <w:r w:rsidR="00804C95">
        <w:rPr>
          <w:rFonts w:ascii="Times New Roman" w:hAnsi="Times New Roman" w:cs="Times New Roman"/>
          <w:lang w:val="tr-TR"/>
        </w:rPr>
        <w:t>lık</w:t>
      </w:r>
      <w:proofErr w:type="spellEnd"/>
      <w:r w:rsidR="00804C95">
        <w:rPr>
          <w:rFonts w:ascii="Times New Roman" w:hAnsi="Times New Roman" w:cs="Times New Roman"/>
          <w:lang w:val="tr-TR"/>
        </w:rPr>
        <w:t xml:space="preserve"> fon ile istihdam </w:t>
      </w:r>
      <w:proofErr w:type="spellStart"/>
      <w:r w:rsidR="00804C95">
        <w:rPr>
          <w:rFonts w:ascii="Times New Roman" w:hAnsi="Times New Roman" w:cs="Times New Roman"/>
          <w:lang w:val="tr-TR"/>
        </w:rPr>
        <w:t>yartılmaya</w:t>
      </w:r>
      <w:proofErr w:type="spellEnd"/>
      <w:r w:rsidR="00804C95">
        <w:rPr>
          <w:rFonts w:ascii="Times New Roman" w:hAnsi="Times New Roman" w:cs="Times New Roman"/>
          <w:lang w:val="tr-TR"/>
        </w:rPr>
        <w:t xml:space="preserve"> devam edildiği bilgilerine yer verilmiştir. </w:t>
      </w:r>
      <w:proofErr w:type="gramEnd"/>
    </w:p>
    <w:p w:rsidR="00A4503D" w:rsidRDefault="00A4503D" w:rsidP="00D74720">
      <w:pPr>
        <w:pStyle w:val="ListeParagraf"/>
        <w:numPr>
          <w:ilvl w:val="1"/>
          <w:numId w:val="1"/>
        </w:numPr>
        <w:rPr>
          <w:rFonts w:ascii="Times New Roman" w:hAnsi="Times New Roman" w:cs="Times New Roman"/>
          <w:b/>
          <w:lang w:val="tr-TR"/>
        </w:rPr>
      </w:pPr>
      <w:r w:rsidRPr="00D74720">
        <w:rPr>
          <w:rFonts w:ascii="Times New Roman" w:hAnsi="Times New Roman" w:cs="Times New Roman"/>
          <w:b/>
          <w:lang w:val="tr-TR"/>
        </w:rPr>
        <w:t>Ortalama Üretici Fiyatları</w:t>
      </w:r>
    </w:p>
    <w:p w:rsidR="00A43A0D" w:rsidRDefault="009363A7" w:rsidP="00C53CEC">
      <w:pPr>
        <w:ind w:firstLine="709"/>
        <w:rPr>
          <w:rFonts w:ascii="Times New Roman" w:hAnsi="Times New Roman" w:cs="Times New Roman"/>
          <w:lang w:val="tr-TR"/>
        </w:rPr>
      </w:pPr>
      <w:r>
        <w:rPr>
          <w:rFonts w:ascii="Times New Roman" w:hAnsi="Times New Roman" w:cs="Times New Roman"/>
          <w:lang w:val="tr-TR"/>
        </w:rPr>
        <w:t xml:space="preserve">Mobilya sektörü için </w:t>
      </w:r>
      <w:r w:rsidR="00A43A0D">
        <w:rPr>
          <w:rFonts w:ascii="Times New Roman" w:hAnsi="Times New Roman" w:cs="Times New Roman"/>
          <w:lang w:val="tr-TR"/>
        </w:rPr>
        <w:t xml:space="preserve">2023 yılının </w:t>
      </w:r>
      <w:proofErr w:type="gramStart"/>
      <w:r w:rsidR="00A43A0D">
        <w:rPr>
          <w:rFonts w:ascii="Times New Roman" w:hAnsi="Times New Roman" w:cs="Times New Roman"/>
          <w:lang w:val="tr-TR"/>
        </w:rPr>
        <w:t>baz</w:t>
      </w:r>
      <w:proofErr w:type="gramEnd"/>
      <w:r w:rsidR="00A43A0D">
        <w:rPr>
          <w:rFonts w:ascii="Times New Roman" w:hAnsi="Times New Roman" w:cs="Times New Roman"/>
          <w:lang w:val="tr-TR"/>
        </w:rPr>
        <w:t xml:space="preserve"> kabul edildiği</w:t>
      </w:r>
      <w:r w:rsidR="00582EA2">
        <w:rPr>
          <w:rFonts w:ascii="Times New Roman" w:hAnsi="Times New Roman" w:cs="Times New Roman"/>
          <w:lang w:val="tr-TR"/>
        </w:rPr>
        <w:t>, 2012-2025 yılı arası yıllık</w:t>
      </w:r>
      <w:r w:rsidR="00A43A0D">
        <w:rPr>
          <w:rFonts w:ascii="Times New Roman" w:hAnsi="Times New Roman" w:cs="Times New Roman"/>
          <w:lang w:val="tr-TR"/>
        </w:rPr>
        <w:t xml:space="preserve"> </w:t>
      </w:r>
      <w:r w:rsidR="00582EA2">
        <w:rPr>
          <w:rFonts w:ascii="Times New Roman" w:hAnsi="Times New Roman" w:cs="Times New Roman"/>
          <w:lang w:val="tr-TR"/>
        </w:rPr>
        <w:t xml:space="preserve">ortalama </w:t>
      </w:r>
      <w:r w:rsidR="00A43A0D">
        <w:rPr>
          <w:rFonts w:ascii="Times New Roman" w:hAnsi="Times New Roman" w:cs="Times New Roman"/>
          <w:lang w:val="tr-TR"/>
        </w:rPr>
        <w:t>ü</w:t>
      </w:r>
      <w:r w:rsidR="00A43A0D" w:rsidRPr="00A43A0D">
        <w:rPr>
          <w:rFonts w:ascii="Times New Roman" w:hAnsi="Times New Roman" w:cs="Times New Roman"/>
          <w:lang w:val="tr-TR"/>
        </w:rPr>
        <w:t xml:space="preserve">retici </w:t>
      </w:r>
      <w:r w:rsidR="00582EA2">
        <w:rPr>
          <w:rFonts w:ascii="Times New Roman" w:hAnsi="Times New Roman" w:cs="Times New Roman"/>
          <w:lang w:val="tr-TR"/>
        </w:rPr>
        <w:t>fiyat endeksinin grafiğine aşağıda yer verilmiştir</w:t>
      </w:r>
      <w:r w:rsidR="00F54D9C">
        <w:rPr>
          <w:rStyle w:val="DipnotBavurusu"/>
          <w:rFonts w:ascii="Times New Roman" w:hAnsi="Times New Roman" w:cs="Times New Roman"/>
          <w:lang w:val="tr-TR"/>
        </w:rPr>
        <w:footnoteReference w:id="4"/>
      </w:r>
      <w:r w:rsidR="00582EA2">
        <w:rPr>
          <w:rFonts w:ascii="Times New Roman" w:hAnsi="Times New Roman" w:cs="Times New Roman"/>
          <w:lang w:val="tr-TR"/>
        </w:rPr>
        <w:t xml:space="preserve">. </w:t>
      </w:r>
    </w:p>
    <w:p w:rsidR="00582EA2" w:rsidRDefault="00582EA2" w:rsidP="00582EA2">
      <w:pPr>
        <w:ind w:firstLine="709"/>
        <w:rPr>
          <w:rFonts w:ascii="Times New Roman" w:hAnsi="Times New Roman" w:cs="Times New Roman"/>
          <w:lang w:val="tr-TR"/>
        </w:rPr>
      </w:pPr>
    </w:p>
    <w:p w:rsidR="00D74720" w:rsidRPr="00804C95" w:rsidRDefault="00582EA2" w:rsidP="00804C95">
      <w:pPr>
        <w:ind w:left="360"/>
        <w:rPr>
          <w:rFonts w:ascii="Times New Roman" w:hAnsi="Times New Roman" w:cs="Times New Roman"/>
          <w:lang w:val="tr-TR"/>
        </w:rPr>
      </w:pPr>
      <w:r>
        <w:rPr>
          <w:noProof/>
          <w:lang w:eastAsia="en-GB"/>
        </w:rPr>
        <w:drawing>
          <wp:inline distT="0" distB="0" distL="0" distR="0" wp14:anchorId="3064D9CF" wp14:editId="547C37D5">
            <wp:extent cx="5324475" cy="2200275"/>
            <wp:effectExtent l="0" t="0" r="9525" b="9525"/>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74720" w:rsidRPr="00D74720" w:rsidRDefault="00D74720" w:rsidP="00D74720">
      <w:pPr>
        <w:pStyle w:val="ListeParagraf"/>
        <w:rPr>
          <w:rFonts w:ascii="Times New Roman" w:hAnsi="Times New Roman" w:cs="Times New Roman"/>
          <w:b/>
          <w:lang w:val="tr-TR"/>
        </w:rPr>
      </w:pPr>
    </w:p>
    <w:p w:rsidR="00A4503D" w:rsidRDefault="00A4503D" w:rsidP="00A4503D">
      <w:pPr>
        <w:ind w:left="360"/>
        <w:rPr>
          <w:rFonts w:ascii="Times New Roman" w:hAnsi="Times New Roman" w:cs="Times New Roman"/>
          <w:b/>
          <w:lang w:val="tr-TR"/>
        </w:rPr>
      </w:pPr>
      <w:r>
        <w:rPr>
          <w:rFonts w:ascii="Times New Roman" w:hAnsi="Times New Roman" w:cs="Times New Roman"/>
          <w:b/>
          <w:lang w:val="tr-TR"/>
        </w:rPr>
        <w:t>1.3 İlgili Sektörde Üretici Yerli Firmalara ve Üretici Birlikleri/Derneklerine İlişkin Bilgiler</w:t>
      </w:r>
    </w:p>
    <w:p w:rsidR="0004462E" w:rsidRDefault="00CD7CE0" w:rsidP="00CC0AD7">
      <w:pPr>
        <w:ind w:firstLine="357"/>
        <w:jc w:val="both"/>
        <w:rPr>
          <w:rFonts w:ascii="Times New Roman" w:hAnsi="Times New Roman" w:cs="Times New Roman"/>
          <w:lang w:val="tr-TR"/>
        </w:rPr>
      </w:pPr>
      <w:r w:rsidRPr="00CD7CE0">
        <w:rPr>
          <w:rFonts w:ascii="Times New Roman" w:hAnsi="Times New Roman" w:cs="Times New Roman"/>
          <w:b/>
          <w:lang w:val="tr-TR"/>
        </w:rPr>
        <w:t>SAFI:</w:t>
      </w:r>
      <w:r>
        <w:rPr>
          <w:rFonts w:ascii="Times New Roman" w:hAnsi="Times New Roman" w:cs="Times New Roman"/>
          <w:lang w:val="tr-TR"/>
        </w:rPr>
        <w:t xml:space="preserve"> </w:t>
      </w:r>
      <w:r w:rsidR="00286967">
        <w:rPr>
          <w:rFonts w:ascii="Times New Roman" w:hAnsi="Times New Roman" w:cs="Times New Roman"/>
          <w:lang w:val="tr-TR"/>
        </w:rPr>
        <w:t xml:space="preserve">GAC mobilya sektöründeki en önemli çatı kuruluş Güney Afrika </w:t>
      </w:r>
      <w:r>
        <w:rPr>
          <w:rFonts w:ascii="Times New Roman" w:hAnsi="Times New Roman" w:cs="Times New Roman"/>
          <w:lang w:val="tr-TR"/>
        </w:rPr>
        <w:t xml:space="preserve">Mobilya İnisiyatifi (South </w:t>
      </w:r>
      <w:proofErr w:type="spellStart"/>
      <w:r>
        <w:rPr>
          <w:rFonts w:ascii="Times New Roman" w:hAnsi="Times New Roman" w:cs="Times New Roman"/>
          <w:lang w:val="tr-TR"/>
        </w:rPr>
        <w:t>Africa</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Furniture</w:t>
      </w:r>
      <w:proofErr w:type="spellEnd"/>
      <w:r>
        <w:rPr>
          <w:rFonts w:ascii="Times New Roman" w:hAnsi="Times New Roman" w:cs="Times New Roman"/>
          <w:lang w:val="tr-TR"/>
        </w:rPr>
        <w:t xml:space="preserve"> </w:t>
      </w:r>
      <w:proofErr w:type="spellStart"/>
      <w:r>
        <w:rPr>
          <w:rFonts w:ascii="Times New Roman" w:hAnsi="Times New Roman" w:cs="Times New Roman"/>
          <w:lang w:val="tr-TR"/>
        </w:rPr>
        <w:t>Initiative</w:t>
      </w:r>
      <w:proofErr w:type="spellEnd"/>
      <w:r>
        <w:rPr>
          <w:rFonts w:ascii="Times New Roman" w:hAnsi="Times New Roman" w:cs="Times New Roman"/>
          <w:lang w:val="tr-TR"/>
        </w:rPr>
        <w:t xml:space="preserve">- SAFI) adlı dernek yapılanmasıdır. 2021 tarihli Master Planda söz konusu kuruluşa yol haritasındaki hedeflerden bir kısmının yürütücülüğü görevi de verilmiştir. </w:t>
      </w:r>
    </w:p>
    <w:p w:rsidR="00CD7CE0" w:rsidRDefault="00CD7CE0" w:rsidP="00CC0AD7">
      <w:pPr>
        <w:ind w:firstLine="357"/>
        <w:jc w:val="both"/>
        <w:rPr>
          <w:rFonts w:ascii="Times New Roman" w:hAnsi="Times New Roman" w:cs="Times New Roman"/>
          <w:lang w:val="tr-TR"/>
        </w:rPr>
      </w:pPr>
      <w:r w:rsidRPr="00CD7CE0">
        <w:rPr>
          <w:rFonts w:ascii="Times New Roman" w:hAnsi="Times New Roman" w:cs="Times New Roman"/>
          <w:b/>
          <w:lang w:val="tr-TR"/>
        </w:rPr>
        <w:t>FP&amp;M SETA</w:t>
      </w:r>
      <w:r>
        <w:rPr>
          <w:rFonts w:ascii="Times New Roman" w:hAnsi="Times New Roman" w:cs="Times New Roman"/>
          <w:b/>
          <w:lang w:val="tr-TR"/>
        </w:rPr>
        <w:t xml:space="preserve">: </w:t>
      </w:r>
      <w:r>
        <w:rPr>
          <w:rFonts w:ascii="Times New Roman" w:hAnsi="Times New Roman" w:cs="Times New Roman"/>
          <w:lang w:val="tr-TR"/>
        </w:rPr>
        <w:t xml:space="preserve">Sadece mobilya sektörü özelinde yapılanmış olmamakla birlikte, GAC Eğitim Bakanlığı tarafından kurulmuş olan kuruluş, mobilya sektörünün de aralarında olduğu 13 alt sektörde kapasite geliştirme ve sektörler arasındaki koordinasyonu geliştirmeyi hedeflemektedir. </w:t>
      </w:r>
    </w:p>
    <w:p w:rsidR="00CD7CE0" w:rsidRDefault="00CD7CE0" w:rsidP="00CC0AD7">
      <w:pPr>
        <w:ind w:firstLine="357"/>
        <w:jc w:val="both"/>
        <w:rPr>
          <w:rFonts w:ascii="Times New Roman" w:hAnsi="Times New Roman" w:cs="Times New Roman"/>
          <w:lang w:val="tr-TR"/>
        </w:rPr>
      </w:pPr>
      <w:proofErr w:type="spellStart"/>
      <w:r w:rsidRPr="00E026BE">
        <w:rPr>
          <w:rFonts w:ascii="Times New Roman" w:hAnsi="Times New Roman" w:cs="Times New Roman"/>
          <w:b/>
          <w:lang w:val="tr-TR"/>
        </w:rPr>
        <w:t>Pro</w:t>
      </w:r>
      <w:r w:rsidR="00E026BE" w:rsidRPr="00E026BE">
        <w:rPr>
          <w:rFonts w:ascii="Times New Roman" w:hAnsi="Times New Roman" w:cs="Times New Roman"/>
          <w:b/>
          <w:lang w:val="tr-TR"/>
        </w:rPr>
        <w:t>udly</w:t>
      </w:r>
      <w:proofErr w:type="spellEnd"/>
      <w:r w:rsidR="00E026BE" w:rsidRPr="00E026BE">
        <w:rPr>
          <w:rFonts w:ascii="Times New Roman" w:hAnsi="Times New Roman" w:cs="Times New Roman"/>
          <w:b/>
          <w:lang w:val="tr-TR"/>
        </w:rPr>
        <w:t xml:space="preserve"> SA:</w:t>
      </w:r>
      <w:r w:rsidR="00E026BE">
        <w:rPr>
          <w:rFonts w:ascii="Times New Roman" w:hAnsi="Times New Roman" w:cs="Times New Roman"/>
          <w:b/>
          <w:lang w:val="tr-TR"/>
        </w:rPr>
        <w:t xml:space="preserve"> </w:t>
      </w:r>
      <w:r w:rsidR="00E026BE">
        <w:rPr>
          <w:rFonts w:ascii="Times New Roman" w:hAnsi="Times New Roman" w:cs="Times New Roman"/>
          <w:lang w:val="tr-TR"/>
        </w:rPr>
        <w:t xml:space="preserve">Özellikle yerel ölçekte üretim yapan küçük ve orta ölçekli firmaların ve yerel tasarımların desteklenmesi </w:t>
      </w:r>
      <w:proofErr w:type="gramStart"/>
      <w:r w:rsidR="00E026BE">
        <w:rPr>
          <w:rFonts w:ascii="Times New Roman" w:hAnsi="Times New Roman" w:cs="Times New Roman"/>
          <w:lang w:val="tr-TR"/>
        </w:rPr>
        <w:t>motivasyonuyla</w:t>
      </w:r>
      <w:proofErr w:type="gramEnd"/>
      <w:r w:rsidR="00E026BE">
        <w:rPr>
          <w:rFonts w:ascii="Times New Roman" w:hAnsi="Times New Roman" w:cs="Times New Roman"/>
          <w:lang w:val="tr-TR"/>
        </w:rPr>
        <w:t xml:space="preserve">, yine mobilya sektörü özelinde yapılanmış </w:t>
      </w:r>
      <w:r w:rsidR="007E0D9F">
        <w:rPr>
          <w:rFonts w:ascii="Times New Roman" w:hAnsi="Times New Roman" w:cs="Times New Roman"/>
          <w:lang w:val="tr-TR"/>
        </w:rPr>
        <w:t>olmayan ancak mobilya sektörünün önemli ulusal markalarını çatısı altında toplayan ve bu alanlarda istihdamı arttırmayı amaçlayan bir inisiyatiftir. 2021 tarihli Master Planda söz konusu kuruluşa yol haritasındaki hedeflerden bir kısmının yürütücülüğü görevi de verilmiştir.</w:t>
      </w:r>
    </w:p>
    <w:p w:rsidR="002C4CE2" w:rsidRDefault="002C4CE2" w:rsidP="00CC0AD7">
      <w:pPr>
        <w:ind w:firstLine="357"/>
        <w:jc w:val="both"/>
        <w:rPr>
          <w:rFonts w:ascii="Times New Roman" w:hAnsi="Times New Roman" w:cs="Times New Roman"/>
          <w:lang w:val="tr-TR"/>
        </w:rPr>
      </w:pPr>
      <w:proofErr w:type="spellStart"/>
      <w:r w:rsidRPr="002C4CE2">
        <w:rPr>
          <w:rFonts w:ascii="Times New Roman" w:hAnsi="Times New Roman" w:cs="Times New Roman"/>
          <w:b/>
          <w:lang w:val="tr-TR"/>
        </w:rPr>
        <w:t>Clout</w:t>
      </w:r>
      <w:proofErr w:type="spellEnd"/>
      <w:r w:rsidRPr="002C4CE2">
        <w:rPr>
          <w:rFonts w:ascii="Times New Roman" w:hAnsi="Times New Roman" w:cs="Times New Roman"/>
          <w:b/>
          <w:lang w:val="tr-TR"/>
        </w:rPr>
        <w:t xml:space="preserve"> SA</w:t>
      </w:r>
      <w:r>
        <w:rPr>
          <w:rFonts w:ascii="Times New Roman" w:hAnsi="Times New Roman" w:cs="Times New Roman"/>
          <w:b/>
          <w:lang w:val="tr-TR"/>
        </w:rPr>
        <w:t xml:space="preserve">: </w:t>
      </w:r>
      <w:r>
        <w:rPr>
          <w:rFonts w:ascii="Times New Roman" w:hAnsi="Times New Roman" w:cs="Times New Roman"/>
          <w:lang w:val="tr-TR"/>
        </w:rPr>
        <w:t xml:space="preserve">Mobilya sektörü özelinde Güney Afrika tasarımını yerel üreticiler üzerinden destekleyerek </w:t>
      </w:r>
      <w:r w:rsidR="00440875">
        <w:rPr>
          <w:rFonts w:ascii="Times New Roman" w:hAnsi="Times New Roman" w:cs="Times New Roman"/>
          <w:lang w:val="tr-TR"/>
        </w:rPr>
        <w:t xml:space="preserve">küresel ölçekte pazar imkânı yaratmayı hedefleyen bir </w:t>
      </w:r>
      <w:proofErr w:type="gramStart"/>
      <w:r w:rsidR="00440875">
        <w:rPr>
          <w:rFonts w:ascii="Times New Roman" w:hAnsi="Times New Roman" w:cs="Times New Roman"/>
          <w:lang w:val="tr-TR"/>
        </w:rPr>
        <w:t>inisiyatiftir</w:t>
      </w:r>
      <w:proofErr w:type="gramEnd"/>
      <w:r w:rsidR="00440875">
        <w:rPr>
          <w:rFonts w:ascii="Times New Roman" w:hAnsi="Times New Roman" w:cs="Times New Roman"/>
          <w:lang w:val="tr-TR"/>
        </w:rPr>
        <w:t>. 2021 tarihli Master Planda söz konusu kuruluşa yol haritasındaki hedeflerden bir kısmının yürütücülüğü görevi de verilmiştir.</w:t>
      </w:r>
    </w:p>
    <w:p w:rsidR="00886830" w:rsidRDefault="00886830" w:rsidP="00CC0AD7">
      <w:pPr>
        <w:ind w:firstLine="360"/>
        <w:jc w:val="both"/>
        <w:rPr>
          <w:rFonts w:ascii="Times New Roman" w:hAnsi="Times New Roman" w:cs="Times New Roman"/>
          <w:lang w:val="tr-TR"/>
        </w:rPr>
      </w:pPr>
      <w:proofErr w:type="spellStart"/>
      <w:r w:rsidRPr="00886830">
        <w:rPr>
          <w:rFonts w:ascii="Times New Roman" w:hAnsi="Times New Roman" w:cs="Times New Roman"/>
          <w:b/>
          <w:lang w:val="tr-TR"/>
        </w:rPr>
        <w:t>Furntech</w:t>
      </w:r>
      <w:proofErr w:type="spellEnd"/>
      <w:r w:rsidRPr="00886830">
        <w:rPr>
          <w:rFonts w:ascii="Times New Roman" w:hAnsi="Times New Roman" w:cs="Times New Roman"/>
          <w:b/>
          <w:lang w:val="tr-TR"/>
        </w:rPr>
        <w:t xml:space="preserve">: </w:t>
      </w:r>
      <w:r>
        <w:rPr>
          <w:rFonts w:ascii="Times New Roman" w:hAnsi="Times New Roman" w:cs="Times New Roman"/>
          <w:lang w:val="tr-TR"/>
        </w:rPr>
        <w:t>Mobilya sektörü için kurulmuş olan, teknoloji kuluçka ortamı ve beceri gelişimi temelli Mükemmellik Merkezi (</w:t>
      </w:r>
      <w:proofErr w:type="spellStart"/>
      <w:r>
        <w:rPr>
          <w:rFonts w:ascii="Times New Roman" w:hAnsi="Times New Roman" w:cs="Times New Roman"/>
          <w:lang w:val="tr-TR"/>
        </w:rPr>
        <w:t>Centre</w:t>
      </w:r>
      <w:proofErr w:type="spellEnd"/>
      <w:r>
        <w:rPr>
          <w:rFonts w:ascii="Times New Roman" w:hAnsi="Times New Roman" w:cs="Times New Roman"/>
          <w:lang w:val="tr-TR"/>
        </w:rPr>
        <w:t xml:space="preserve"> of </w:t>
      </w:r>
      <w:proofErr w:type="spellStart"/>
      <w:r>
        <w:rPr>
          <w:rFonts w:ascii="Times New Roman" w:hAnsi="Times New Roman" w:cs="Times New Roman"/>
          <w:lang w:val="tr-TR"/>
        </w:rPr>
        <w:t>Excellence</w:t>
      </w:r>
      <w:proofErr w:type="spellEnd"/>
      <w:r>
        <w:rPr>
          <w:rFonts w:ascii="Times New Roman" w:hAnsi="Times New Roman" w:cs="Times New Roman"/>
          <w:lang w:val="tr-TR"/>
        </w:rPr>
        <w:t xml:space="preserve">). </w:t>
      </w:r>
    </w:p>
    <w:p w:rsidR="00F65274" w:rsidRPr="00F65274" w:rsidRDefault="00F65274" w:rsidP="00F65274">
      <w:pPr>
        <w:ind w:firstLine="360"/>
        <w:jc w:val="both"/>
        <w:rPr>
          <w:rFonts w:ascii="Times New Roman" w:hAnsi="Times New Roman" w:cs="Times New Roman"/>
          <w:lang w:val="tr-TR"/>
        </w:rPr>
      </w:pPr>
      <w:r w:rsidRPr="00F65274">
        <w:rPr>
          <w:rFonts w:ascii="Times New Roman" w:hAnsi="Times New Roman" w:cs="Times New Roman"/>
          <w:lang w:val="tr-TR"/>
        </w:rPr>
        <w:t xml:space="preserve">Bunlar dışındaki büyük ölçekli mobilya firmaları arasında </w:t>
      </w:r>
      <w:proofErr w:type="spellStart"/>
      <w:r w:rsidRPr="00F65274">
        <w:rPr>
          <w:rFonts w:ascii="Times New Roman" w:hAnsi="Times New Roman" w:cs="Times New Roman"/>
          <w:lang w:val="tr-TR"/>
        </w:rPr>
        <w:t>Coricraft</w:t>
      </w:r>
      <w:proofErr w:type="spellEnd"/>
      <w:r w:rsidRPr="00F65274">
        <w:rPr>
          <w:rFonts w:ascii="Times New Roman" w:hAnsi="Times New Roman" w:cs="Times New Roman"/>
          <w:lang w:val="tr-TR"/>
        </w:rPr>
        <w:t xml:space="preserve"> </w:t>
      </w:r>
      <w:proofErr w:type="spellStart"/>
      <w:r w:rsidRPr="00F65274">
        <w:rPr>
          <w:rFonts w:ascii="Times New Roman" w:hAnsi="Times New Roman" w:cs="Times New Roman"/>
          <w:lang w:val="tr-TR"/>
        </w:rPr>
        <w:t>Group</w:t>
      </w:r>
      <w:proofErr w:type="spellEnd"/>
      <w:r w:rsidRPr="00F65274">
        <w:rPr>
          <w:rFonts w:ascii="Times New Roman" w:hAnsi="Times New Roman" w:cs="Times New Roman"/>
          <w:lang w:val="tr-TR"/>
        </w:rPr>
        <w:t xml:space="preserve"> </w:t>
      </w:r>
      <w:proofErr w:type="spellStart"/>
      <w:r w:rsidRPr="00F65274">
        <w:rPr>
          <w:rFonts w:ascii="Times New Roman" w:hAnsi="Times New Roman" w:cs="Times New Roman"/>
          <w:lang w:val="tr-TR"/>
        </w:rPr>
        <w:t>Proprietary</w:t>
      </w:r>
      <w:proofErr w:type="spellEnd"/>
      <w:r w:rsidRPr="00F65274">
        <w:rPr>
          <w:rFonts w:ascii="Times New Roman" w:hAnsi="Times New Roman" w:cs="Times New Roman"/>
          <w:lang w:val="tr-TR"/>
        </w:rPr>
        <w:t xml:space="preserve">, </w:t>
      </w:r>
      <w:proofErr w:type="spellStart"/>
      <w:r w:rsidR="00721DA9" w:rsidRPr="00721DA9">
        <w:rPr>
          <w:rFonts w:ascii="Times New Roman" w:hAnsi="Times New Roman" w:cs="Times New Roman"/>
          <w:lang w:val="tr-TR"/>
        </w:rPr>
        <w:t>Steinhoff</w:t>
      </w:r>
      <w:proofErr w:type="spellEnd"/>
      <w:r w:rsidR="00721DA9" w:rsidRPr="00721DA9">
        <w:rPr>
          <w:rFonts w:ascii="Times New Roman" w:hAnsi="Times New Roman" w:cs="Times New Roman"/>
          <w:lang w:val="tr-TR"/>
        </w:rPr>
        <w:t xml:space="preserve"> International </w:t>
      </w:r>
      <w:proofErr w:type="spellStart"/>
      <w:r w:rsidR="00721DA9" w:rsidRPr="00721DA9">
        <w:rPr>
          <w:rFonts w:ascii="Times New Roman" w:hAnsi="Times New Roman" w:cs="Times New Roman"/>
          <w:lang w:val="tr-TR"/>
        </w:rPr>
        <w:t>Holdings</w:t>
      </w:r>
      <w:proofErr w:type="spellEnd"/>
      <w:r w:rsidR="00721DA9" w:rsidRPr="00721DA9">
        <w:rPr>
          <w:rFonts w:ascii="Times New Roman" w:hAnsi="Times New Roman" w:cs="Times New Roman"/>
          <w:lang w:val="tr-TR"/>
        </w:rPr>
        <w:t xml:space="preserve"> Ltd</w:t>
      </w:r>
      <w:proofErr w:type="gramStart"/>
      <w:r w:rsidR="00721DA9" w:rsidRPr="00721DA9">
        <w:rPr>
          <w:rFonts w:ascii="Times New Roman" w:hAnsi="Times New Roman" w:cs="Times New Roman"/>
          <w:lang w:val="tr-TR"/>
        </w:rPr>
        <w:t>.</w:t>
      </w:r>
      <w:r w:rsidR="00721DA9">
        <w:rPr>
          <w:rFonts w:ascii="Times New Roman" w:hAnsi="Times New Roman" w:cs="Times New Roman"/>
          <w:lang w:val="tr-TR"/>
        </w:rPr>
        <w:t>,</w:t>
      </w:r>
      <w:proofErr w:type="gramEnd"/>
      <w:r w:rsidR="00721DA9">
        <w:rPr>
          <w:rFonts w:ascii="Times New Roman" w:hAnsi="Times New Roman" w:cs="Times New Roman"/>
          <w:lang w:val="tr-TR"/>
        </w:rPr>
        <w:t xml:space="preserve"> </w:t>
      </w:r>
      <w:proofErr w:type="spellStart"/>
      <w:r w:rsidR="00721DA9" w:rsidRPr="00721DA9">
        <w:rPr>
          <w:rFonts w:ascii="Times New Roman" w:hAnsi="Times New Roman" w:cs="Times New Roman"/>
          <w:lang w:val="tr-TR"/>
        </w:rPr>
        <w:t>Homechoice</w:t>
      </w:r>
      <w:proofErr w:type="spellEnd"/>
      <w:r w:rsidR="00721DA9" w:rsidRPr="00721DA9">
        <w:rPr>
          <w:rFonts w:ascii="Times New Roman" w:hAnsi="Times New Roman" w:cs="Times New Roman"/>
          <w:lang w:val="tr-TR"/>
        </w:rPr>
        <w:t xml:space="preserve"> International </w:t>
      </w:r>
      <w:proofErr w:type="spellStart"/>
      <w:r w:rsidR="00721DA9" w:rsidRPr="00721DA9">
        <w:rPr>
          <w:rFonts w:ascii="Times New Roman" w:hAnsi="Times New Roman" w:cs="Times New Roman"/>
          <w:lang w:val="tr-TR"/>
        </w:rPr>
        <w:t>plc</w:t>
      </w:r>
      <w:proofErr w:type="spellEnd"/>
      <w:r w:rsidR="00721DA9">
        <w:rPr>
          <w:rFonts w:ascii="Times New Roman" w:hAnsi="Times New Roman" w:cs="Times New Roman"/>
          <w:lang w:val="tr-TR"/>
        </w:rPr>
        <w:t xml:space="preserve"> (</w:t>
      </w:r>
      <w:proofErr w:type="spellStart"/>
      <w:r w:rsidR="00721DA9" w:rsidRPr="00721DA9">
        <w:rPr>
          <w:rFonts w:ascii="Times New Roman" w:hAnsi="Times New Roman" w:cs="Times New Roman"/>
          <w:lang w:val="tr-TR"/>
        </w:rPr>
        <w:t>Weaver</w:t>
      </w:r>
      <w:proofErr w:type="spellEnd"/>
      <w:r w:rsidR="00721DA9" w:rsidRPr="00721DA9">
        <w:rPr>
          <w:rFonts w:ascii="Times New Roman" w:hAnsi="Times New Roman" w:cs="Times New Roman"/>
          <w:lang w:val="tr-TR"/>
        </w:rPr>
        <w:t xml:space="preserve"> </w:t>
      </w:r>
      <w:proofErr w:type="spellStart"/>
      <w:r w:rsidR="00721DA9" w:rsidRPr="00721DA9">
        <w:rPr>
          <w:rFonts w:ascii="Times New Roman" w:hAnsi="Times New Roman" w:cs="Times New Roman"/>
          <w:lang w:val="tr-TR"/>
        </w:rPr>
        <w:t>Fintech</w:t>
      </w:r>
      <w:proofErr w:type="spellEnd"/>
      <w:r w:rsidR="00721DA9" w:rsidRPr="00721DA9">
        <w:rPr>
          <w:rFonts w:ascii="Times New Roman" w:hAnsi="Times New Roman" w:cs="Times New Roman"/>
          <w:lang w:val="tr-TR"/>
        </w:rPr>
        <w:t xml:space="preserve"> </w:t>
      </w:r>
      <w:proofErr w:type="spellStart"/>
      <w:r w:rsidR="00721DA9" w:rsidRPr="00721DA9">
        <w:rPr>
          <w:rFonts w:ascii="Times New Roman" w:hAnsi="Times New Roman" w:cs="Times New Roman"/>
          <w:lang w:val="tr-TR"/>
        </w:rPr>
        <w:t>Ltd</w:t>
      </w:r>
      <w:proofErr w:type="spellEnd"/>
      <w:r w:rsidR="00721DA9">
        <w:rPr>
          <w:rFonts w:ascii="Times New Roman" w:hAnsi="Times New Roman" w:cs="Times New Roman"/>
          <w:lang w:val="tr-TR"/>
        </w:rPr>
        <w:t xml:space="preserve">), </w:t>
      </w:r>
      <w:proofErr w:type="spellStart"/>
      <w:r w:rsidR="00721DA9">
        <w:rPr>
          <w:rFonts w:ascii="Times New Roman" w:hAnsi="Times New Roman" w:cs="Times New Roman"/>
          <w:lang w:val="tr-TR"/>
        </w:rPr>
        <w:t>Grafton</w:t>
      </w:r>
      <w:proofErr w:type="spellEnd"/>
      <w:r w:rsidR="00721DA9">
        <w:rPr>
          <w:rFonts w:ascii="Times New Roman" w:hAnsi="Times New Roman" w:cs="Times New Roman"/>
          <w:lang w:val="tr-TR"/>
        </w:rPr>
        <w:t xml:space="preserve"> Everest </w:t>
      </w:r>
      <w:proofErr w:type="spellStart"/>
      <w:r w:rsidR="00721DA9">
        <w:rPr>
          <w:rFonts w:ascii="Times New Roman" w:hAnsi="Times New Roman" w:cs="Times New Roman"/>
          <w:lang w:val="tr-TR"/>
        </w:rPr>
        <w:t>Group</w:t>
      </w:r>
      <w:proofErr w:type="spellEnd"/>
      <w:r w:rsidR="00721DA9">
        <w:rPr>
          <w:rFonts w:ascii="Times New Roman" w:hAnsi="Times New Roman" w:cs="Times New Roman"/>
          <w:lang w:val="tr-TR"/>
        </w:rPr>
        <w:t xml:space="preserve">, </w:t>
      </w:r>
      <w:proofErr w:type="spellStart"/>
      <w:r w:rsidR="00721DA9">
        <w:rPr>
          <w:rFonts w:ascii="Times New Roman" w:hAnsi="Times New Roman" w:cs="Times New Roman"/>
          <w:lang w:val="tr-TR"/>
        </w:rPr>
        <w:t>Osiers</w:t>
      </w:r>
      <w:proofErr w:type="spellEnd"/>
      <w:r w:rsidR="00721DA9">
        <w:rPr>
          <w:rFonts w:ascii="Times New Roman" w:hAnsi="Times New Roman" w:cs="Times New Roman"/>
          <w:lang w:val="tr-TR"/>
        </w:rPr>
        <w:t xml:space="preserve"> </w:t>
      </w:r>
      <w:proofErr w:type="spellStart"/>
      <w:r w:rsidR="00721DA9">
        <w:rPr>
          <w:rFonts w:ascii="Times New Roman" w:hAnsi="Times New Roman" w:cs="Times New Roman"/>
          <w:lang w:val="tr-TR"/>
        </w:rPr>
        <w:t>Group</w:t>
      </w:r>
      <w:proofErr w:type="spellEnd"/>
      <w:r w:rsidR="00721DA9">
        <w:rPr>
          <w:rFonts w:ascii="Times New Roman" w:hAnsi="Times New Roman" w:cs="Times New Roman"/>
          <w:lang w:val="tr-TR"/>
        </w:rPr>
        <w:t xml:space="preserve">, </w:t>
      </w:r>
      <w:r w:rsidR="00950660">
        <w:rPr>
          <w:rFonts w:ascii="Times New Roman" w:hAnsi="Times New Roman" w:cs="Times New Roman"/>
          <w:lang w:val="tr-TR"/>
        </w:rPr>
        <w:t xml:space="preserve">PG </w:t>
      </w:r>
      <w:proofErr w:type="spellStart"/>
      <w:r w:rsidR="00950660">
        <w:rPr>
          <w:rFonts w:ascii="Times New Roman" w:hAnsi="Times New Roman" w:cs="Times New Roman"/>
          <w:lang w:val="tr-TR"/>
        </w:rPr>
        <w:t>Bison</w:t>
      </w:r>
      <w:proofErr w:type="spellEnd"/>
      <w:r w:rsidR="00950660">
        <w:rPr>
          <w:rFonts w:ascii="Times New Roman" w:hAnsi="Times New Roman" w:cs="Times New Roman"/>
          <w:lang w:val="tr-TR"/>
        </w:rPr>
        <w:t xml:space="preserve"> (KAP </w:t>
      </w:r>
      <w:proofErr w:type="spellStart"/>
      <w:r w:rsidR="00950660">
        <w:rPr>
          <w:rFonts w:ascii="Times New Roman" w:hAnsi="Times New Roman" w:cs="Times New Roman"/>
          <w:lang w:val="tr-TR"/>
        </w:rPr>
        <w:t>Industrial</w:t>
      </w:r>
      <w:proofErr w:type="spellEnd"/>
      <w:r w:rsidR="00950660">
        <w:rPr>
          <w:rFonts w:ascii="Times New Roman" w:hAnsi="Times New Roman" w:cs="Times New Roman"/>
          <w:lang w:val="tr-TR"/>
        </w:rPr>
        <w:t xml:space="preserve"> </w:t>
      </w:r>
      <w:proofErr w:type="spellStart"/>
      <w:r w:rsidR="00950660">
        <w:rPr>
          <w:rFonts w:ascii="Times New Roman" w:hAnsi="Times New Roman" w:cs="Times New Roman"/>
          <w:lang w:val="tr-TR"/>
        </w:rPr>
        <w:t>Holdings</w:t>
      </w:r>
      <w:proofErr w:type="spellEnd"/>
      <w:r w:rsidR="00950660">
        <w:rPr>
          <w:rFonts w:ascii="Times New Roman" w:hAnsi="Times New Roman" w:cs="Times New Roman"/>
          <w:lang w:val="tr-TR"/>
        </w:rPr>
        <w:t xml:space="preserve">), </w:t>
      </w:r>
      <w:r w:rsidR="00721DA9">
        <w:rPr>
          <w:rFonts w:ascii="Times New Roman" w:hAnsi="Times New Roman" w:cs="Times New Roman"/>
          <w:lang w:val="tr-TR"/>
        </w:rPr>
        <w:t xml:space="preserve">Rochester, UFO </w:t>
      </w:r>
      <w:proofErr w:type="spellStart"/>
      <w:r w:rsidR="00721DA9">
        <w:rPr>
          <w:rFonts w:ascii="Times New Roman" w:hAnsi="Times New Roman" w:cs="Times New Roman"/>
          <w:lang w:val="tr-TR"/>
        </w:rPr>
        <w:t>Furniture</w:t>
      </w:r>
      <w:proofErr w:type="spellEnd"/>
      <w:r w:rsidR="00721DA9">
        <w:rPr>
          <w:rFonts w:ascii="Times New Roman" w:hAnsi="Times New Roman" w:cs="Times New Roman"/>
          <w:lang w:val="tr-TR"/>
        </w:rPr>
        <w:t xml:space="preserve">, </w:t>
      </w:r>
      <w:proofErr w:type="spellStart"/>
      <w:r w:rsidR="00721DA9">
        <w:rPr>
          <w:rFonts w:ascii="Times New Roman" w:hAnsi="Times New Roman" w:cs="Times New Roman"/>
          <w:lang w:val="tr-TR"/>
        </w:rPr>
        <w:t>Waylandts</w:t>
      </w:r>
      <w:proofErr w:type="spellEnd"/>
      <w:r w:rsidR="00721DA9">
        <w:rPr>
          <w:rFonts w:ascii="Times New Roman" w:hAnsi="Times New Roman" w:cs="Times New Roman"/>
          <w:lang w:val="tr-TR"/>
        </w:rPr>
        <w:t xml:space="preserve"> ve </w:t>
      </w:r>
      <w:proofErr w:type="spellStart"/>
      <w:r w:rsidR="00721DA9">
        <w:rPr>
          <w:rFonts w:ascii="Times New Roman" w:hAnsi="Times New Roman" w:cs="Times New Roman"/>
          <w:lang w:val="tr-TR"/>
        </w:rPr>
        <w:t>Woodbender</w:t>
      </w:r>
      <w:proofErr w:type="spellEnd"/>
      <w:r w:rsidR="00721DA9">
        <w:rPr>
          <w:rFonts w:ascii="Times New Roman" w:hAnsi="Times New Roman" w:cs="Times New Roman"/>
          <w:lang w:val="tr-TR"/>
        </w:rPr>
        <w:t xml:space="preserve"> sayılabilir. </w:t>
      </w:r>
    </w:p>
    <w:p w:rsidR="00A4503D" w:rsidRDefault="00A4503D" w:rsidP="00BF060F">
      <w:pPr>
        <w:pStyle w:val="ListeParagraf"/>
        <w:numPr>
          <w:ilvl w:val="1"/>
          <w:numId w:val="1"/>
        </w:numPr>
        <w:rPr>
          <w:rFonts w:ascii="Times New Roman" w:hAnsi="Times New Roman" w:cs="Times New Roman"/>
          <w:b/>
          <w:lang w:val="tr-TR"/>
        </w:rPr>
      </w:pPr>
      <w:r w:rsidRPr="00BF060F">
        <w:rPr>
          <w:rFonts w:ascii="Times New Roman" w:hAnsi="Times New Roman" w:cs="Times New Roman"/>
          <w:b/>
          <w:lang w:val="tr-TR"/>
        </w:rPr>
        <w:lastRenderedPageBreak/>
        <w:t>Mobilya Sektöründe Perakende ve Toptan Satışlara İlişkin Bilgi</w:t>
      </w:r>
    </w:p>
    <w:p w:rsidR="00C53CEC" w:rsidRDefault="00C53CEC" w:rsidP="00C53CEC">
      <w:pPr>
        <w:pStyle w:val="ListeParagraf"/>
        <w:rPr>
          <w:rFonts w:ascii="Times New Roman" w:hAnsi="Times New Roman" w:cs="Times New Roman"/>
          <w:b/>
          <w:lang w:val="tr-TR"/>
        </w:rPr>
      </w:pPr>
    </w:p>
    <w:p w:rsidR="00D770A3" w:rsidRDefault="0061733B" w:rsidP="00D770A3">
      <w:pPr>
        <w:pStyle w:val="ListeParagraf"/>
        <w:ind w:left="0" w:firstLine="851"/>
        <w:jc w:val="both"/>
        <w:rPr>
          <w:rFonts w:ascii="Times New Roman" w:hAnsi="Times New Roman" w:cs="Times New Roman"/>
          <w:lang w:val="tr-TR"/>
        </w:rPr>
      </w:pPr>
      <w:r>
        <w:rPr>
          <w:rFonts w:ascii="Times New Roman" w:hAnsi="Times New Roman" w:cs="Times New Roman"/>
          <w:lang w:val="tr-TR"/>
        </w:rPr>
        <w:t>2019 ve 2</w:t>
      </w:r>
      <w:r w:rsidR="00C53CEC">
        <w:rPr>
          <w:rFonts w:ascii="Times New Roman" w:hAnsi="Times New Roman" w:cs="Times New Roman"/>
          <w:lang w:val="tr-TR"/>
        </w:rPr>
        <w:t>025 yılları arasında m</w:t>
      </w:r>
      <w:r w:rsidR="00C53CEC" w:rsidRPr="00C53CEC">
        <w:rPr>
          <w:rFonts w:ascii="Times New Roman" w:hAnsi="Times New Roman" w:cs="Times New Roman"/>
          <w:lang w:val="tr-TR"/>
        </w:rPr>
        <w:t>obilya sektörün</w:t>
      </w:r>
      <w:r w:rsidR="00C53CEC">
        <w:rPr>
          <w:rFonts w:ascii="Times New Roman" w:hAnsi="Times New Roman" w:cs="Times New Roman"/>
          <w:lang w:val="tr-TR"/>
        </w:rPr>
        <w:t xml:space="preserve">de </w:t>
      </w:r>
      <w:r w:rsidR="00D921FA">
        <w:rPr>
          <w:rFonts w:ascii="Times New Roman" w:hAnsi="Times New Roman" w:cs="Times New Roman"/>
          <w:lang w:val="tr-TR"/>
        </w:rPr>
        <w:t xml:space="preserve">(veriye mobilyanın </w:t>
      </w:r>
      <w:proofErr w:type="spellStart"/>
      <w:r w:rsidR="00D921FA">
        <w:rPr>
          <w:rFonts w:ascii="Times New Roman" w:hAnsi="Times New Roman" w:cs="Times New Roman"/>
          <w:lang w:val="tr-TR"/>
        </w:rPr>
        <w:t>yanısıra</w:t>
      </w:r>
      <w:proofErr w:type="spellEnd"/>
      <w:r w:rsidR="00D921FA">
        <w:rPr>
          <w:rFonts w:ascii="Times New Roman" w:hAnsi="Times New Roman" w:cs="Times New Roman"/>
          <w:lang w:val="tr-TR"/>
        </w:rPr>
        <w:t xml:space="preserve"> elektrikli ev eşyaları da dâhildir) </w:t>
      </w:r>
      <w:r w:rsidR="00C53CEC">
        <w:rPr>
          <w:rFonts w:ascii="Times New Roman" w:hAnsi="Times New Roman" w:cs="Times New Roman"/>
          <w:lang w:val="tr-TR"/>
        </w:rPr>
        <w:t xml:space="preserve">yapılan aylık perakende satışların </w:t>
      </w:r>
      <w:r w:rsidR="00C53CEC" w:rsidRPr="00C53CEC">
        <w:rPr>
          <w:rFonts w:ascii="Times New Roman" w:hAnsi="Times New Roman" w:cs="Times New Roman"/>
          <w:lang w:val="tr-TR"/>
        </w:rPr>
        <w:t xml:space="preserve">mevsimsellikten arındırılmış </w:t>
      </w:r>
      <w:r w:rsidR="00C53CEC">
        <w:rPr>
          <w:rFonts w:ascii="Times New Roman" w:hAnsi="Times New Roman" w:cs="Times New Roman"/>
          <w:lang w:val="tr-TR"/>
        </w:rPr>
        <w:t xml:space="preserve">cari fiyat verilerine ilişkin grafik </w:t>
      </w:r>
      <w:r w:rsidR="00C53CEC" w:rsidRPr="00C53CEC">
        <w:rPr>
          <w:rFonts w:ascii="Times New Roman" w:hAnsi="Times New Roman" w:cs="Times New Roman"/>
          <w:lang w:val="tr-TR"/>
        </w:rPr>
        <w:t>aşağıdaki gibidir</w:t>
      </w:r>
      <w:r w:rsidR="00C53CEC">
        <w:rPr>
          <w:rStyle w:val="DipnotBavurusu"/>
          <w:rFonts w:ascii="Times New Roman" w:hAnsi="Times New Roman" w:cs="Times New Roman"/>
          <w:lang w:val="tr-TR"/>
        </w:rPr>
        <w:footnoteReference w:id="5"/>
      </w:r>
      <w:r w:rsidR="00C53CEC" w:rsidRPr="00C53CEC">
        <w:rPr>
          <w:rFonts w:ascii="Times New Roman" w:hAnsi="Times New Roman" w:cs="Times New Roman"/>
          <w:lang w:val="tr-TR"/>
        </w:rPr>
        <w:t xml:space="preserve">. </w:t>
      </w:r>
    </w:p>
    <w:p w:rsidR="00D770A3" w:rsidRDefault="00D770A3" w:rsidP="00D770A3">
      <w:pPr>
        <w:pStyle w:val="ListeParagraf"/>
        <w:ind w:left="0" w:firstLine="851"/>
        <w:jc w:val="both"/>
        <w:rPr>
          <w:rFonts w:ascii="Times New Roman" w:hAnsi="Times New Roman" w:cs="Times New Roman"/>
          <w:lang w:val="tr-TR"/>
        </w:rPr>
      </w:pPr>
    </w:p>
    <w:p w:rsidR="00D770A3" w:rsidRDefault="00D770A3" w:rsidP="00D770A3">
      <w:pPr>
        <w:pStyle w:val="ListeParagraf"/>
        <w:ind w:left="0"/>
        <w:jc w:val="both"/>
        <w:rPr>
          <w:rFonts w:ascii="Times New Roman" w:hAnsi="Times New Roman" w:cs="Times New Roman"/>
          <w:lang w:val="tr-TR"/>
        </w:rPr>
      </w:pPr>
      <w:r>
        <w:rPr>
          <w:noProof/>
          <w:lang w:eastAsia="en-GB"/>
        </w:rPr>
        <w:drawing>
          <wp:inline distT="0" distB="0" distL="0" distR="0" wp14:anchorId="3ACB9794" wp14:editId="2F82CA1B">
            <wp:extent cx="5728687" cy="3241040"/>
            <wp:effectExtent l="0" t="0" r="5715" b="16510"/>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70A3" w:rsidRDefault="00D770A3" w:rsidP="00D770A3">
      <w:pPr>
        <w:pStyle w:val="ListeParagraf"/>
        <w:ind w:left="0" w:firstLine="851"/>
        <w:jc w:val="both"/>
        <w:rPr>
          <w:rFonts w:ascii="Times New Roman" w:hAnsi="Times New Roman" w:cs="Times New Roman"/>
          <w:lang w:val="tr-TR"/>
        </w:rPr>
      </w:pPr>
    </w:p>
    <w:p w:rsidR="00D770A3" w:rsidRDefault="00D770A3" w:rsidP="00D770A3">
      <w:pPr>
        <w:pStyle w:val="ListeParagraf"/>
        <w:ind w:left="0" w:firstLine="851"/>
        <w:jc w:val="both"/>
        <w:rPr>
          <w:rFonts w:ascii="Times New Roman" w:hAnsi="Times New Roman" w:cs="Times New Roman"/>
          <w:lang w:val="tr-TR"/>
        </w:rPr>
      </w:pPr>
    </w:p>
    <w:p w:rsidR="00806CE9" w:rsidRDefault="00C53CEC" w:rsidP="00CC0AD7">
      <w:pPr>
        <w:pStyle w:val="ListeParagraf"/>
        <w:ind w:left="0" w:firstLine="851"/>
        <w:jc w:val="both"/>
        <w:rPr>
          <w:rFonts w:ascii="Times New Roman" w:hAnsi="Times New Roman" w:cs="Times New Roman"/>
          <w:lang w:val="tr-TR"/>
        </w:rPr>
      </w:pPr>
      <w:r>
        <w:rPr>
          <w:rFonts w:ascii="Times New Roman" w:hAnsi="Times New Roman" w:cs="Times New Roman"/>
          <w:lang w:val="tr-TR"/>
        </w:rPr>
        <w:t xml:space="preserve">Ülkedeki mobilya sektörü </w:t>
      </w:r>
      <w:r w:rsidR="009363A7">
        <w:rPr>
          <w:rFonts w:ascii="Times New Roman" w:hAnsi="Times New Roman" w:cs="Times New Roman"/>
          <w:lang w:val="tr-TR"/>
        </w:rPr>
        <w:t xml:space="preserve">özelinde bir toptan satış verisine rastlanmamış olup, bunun </w:t>
      </w:r>
      <w:r>
        <w:rPr>
          <w:rFonts w:ascii="Times New Roman" w:hAnsi="Times New Roman" w:cs="Times New Roman"/>
          <w:lang w:val="tr-TR"/>
        </w:rPr>
        <w:t>üretimin büyük ölçüde küçük ve orta ölçekli işletmele</w:t>
      </w:r>
      <w:r w:rsidR="00D921FA">
        <w:rPr>
          <w:rFonts w:ascii="Times New Roman" w:hAnsi="Times New Roman" w:cs="Times New Roman"/>
          <w:lang w:val="tr-TR"/>
        </w:rPr>
        <w:t>r tarafından yapı</w:t>
      </w:r>
      <w:r w:rsidR="009363A7">
        <w:rPr>
          <w:rFonts w:ascii="Times New Roman" w:hAnsi="Times New Roman" w:cs="Times New Roman"/>
          <w:lang w:val="tr-TR"/>
        </w:rPr>
        <w:t xml:space="preserve">lıyor olması ve büyük çapta </w:t>
      </w:r>
      <w:r w:rsidR="00D921FA">
        <w:rPr>
          <w:rFonts w:ascii="Times New Roman" w:hAnsi="Times New Roman" w:cs="Times New Roman"/>
          <w:lang w:val="tr-TR"/>
        </w:rPr>
        <w:t xml:space="preserve">toptan </w:t>
      </w:r>
      <w:r w:rsidR="009363A7">
        <w:rPr>
          <w:rFonts w:ascii="Times New Roman" w:hAnsi="Times New Roman" w:cs="Times New Roman"/>
          <w:lang w:val="tr-TR"/>
        </w:rPr>
        <w:t>satış yapan sınırlı sayıda firma bulunmasından kaynaklandığı değerlendirilmektedir. Genel</w:t>
      </w:r>
      <w:r w:rsidR="00151BAA">
        <w:rPr>
          <w:rFonts w:ascii="Times New Roman" w:hAnsi="Times New Roman" w:cs="Times New Roman"/>
          <w:lang w:val="tr-TR"/>
        </w:rPr>
        <w:t xml:space="preserve"> olarak imalat</w:t>
      </w:r>
      <w:r w:rsidR="00745011">
        <w:rPr>
          <w:rFonts w:ascii="Times New Roman" w:hAnsi="Times New Roman" w:cs="Times New Roman"/>
          <w:lang w:val="tr-TR"/>
        </w:rPr>
        <w:t xml:space="preserve"> sektörüne ilişkin verilerde de mobilya sektörü için bir ayrıştırmaya gidilmediği görülmüş</w:t>
      </w:r>
      <w:r w:rsidR="009363A7">
        <w:rPr>
          <w:rFonts w:ascii="Times New Roman" w:hAnsi="Times New Roman" w:cs="Times New Roman"/>
          <w:lang w:val="tr-TR"/>
        </w:rPr>
        <w:t>, g</w:t>
      </w:r>
      <w:r w:rsidR="00745011">
        <w:rPr>
          <w:rFonts w:ascii="Times New Roman" w:hAnsi="Times New Roman" w:cs="Times New Roman"/>
          <w:lang w:val="tr-TR"/>
        </w:rPr>
        <w:t>enel verilerin mobilya sektörü için anlamlı</w:t>
      </w:r>
      <w:r w:rsidR="00CC0AD7">
        <w:rPr>
          <w:rFonts w:ascii="Times New Roman" w:hAnsi="Times New Roman" w:cs="Times New Roman"/>
          <w:lang w:val="tr-TR"/>
        </w:rPr>
        <w:t xml:space="preserve"> </w:t>
      </w:r>
      <w:r w:rsidR="00745011">
        <w:rPr>
          <w:rFonts w:ascii="Times New Roman" w:hAnsi="Times New Roman" w:cs="Times New Roman"/>
          <w:lang w:val="tr-TR"/>
        </w:rPr>
        <w:t xml:space="preserve">bir </w:t>
      </w:r>
      <w:r w:rsidR="00CC0AD7">
        <w:rPr>
          <w:rFonts w:ascii="Times New Roman" w:hAnsi="Times New Roman" w:cs="Times New Roman"/>
          <w:lang w:val="tr-TR"/>
        </w:rPr>
        <w:t>değerlendirmede bulunmaya yardımcı olmayacağı</w:t>
      </w:r>
      <w:r w:rsidR="00745011">
        <w:rPr>
          <w:rFonts w:ascii="Times New Roman" w:hAnsi="Times New Roman" w:cs="Times New Roman"/>
          <w:lang w:val="tr-TR"/>
        </w:rPr>
        <w:t xml:space="preserve"> düşüncesiyle toptan satışlara ilişkin herhangi bir veriye yer verilmemiştir.</w:t>
      </w:r>
      <w:r w:rsidR="00806CE9">
        <w:rPr>
          <w:rFonts w:ascii="Times New Roman" w:hAnsi="Times New Roman" w:cs="Times New Roman"/>
          <w:lang w:val="tr-TR"/>
        </w:rPr>
        <w:t xml:space="preserve"> </w:t>
      </w:r>
    </w:p>
    <w:p w:rsidR="00806CE9" w:rsidRDefault="00806CE9" w:rsidP="00CC0AD7">
      <w:pPr>
        <w:pStyle w:val="ListeParagraf"/>
        <w:ind w:left="0" w:firstLine="851"/>
        <w:jc w:val="both"/>
        <w:rPr>
          <w:rFonts w:ascii="Times New Roman" w:hAnsi="Times New Roman" w:cs="Times New Roman"/>
          <w:lang w:val="tr-TR"/>
        </w:rPr>
      </w:pPr>
    </w:p>
    <w:p w:rsidR="00806CE9" w:rsidRDefault="00806CE9" w:rsidP="00806CE9">
      <w:pPr>
        <w:pStyle w:val="ListeParagraf"/>
        <w:ind w:left="0" w:firstLine="851"/>
        <w:jc w:val="both"/>
        <w:rPr>
          <w:rFonts w:ascii="Times New Roman" w:hAnsi="Times New Roman" w:cs="Times New Roman"/>
          <w:lang w:val="tr-TR"/>
        </w:rPr>
      </w:pPr>
      <w:r>
        <w:rPr>
          <w:rFonts w:ascii="Times New Roman" w:hAnsi="Times New Roman" w:cs="Times New Roman"/>
          <w:lang w:val="tr-TR"/>
        </w:rPr>
        <w:t>Bunun yerine, aşağıda mobilya sektörü için 2019-2025 yılları arasında yapılan satışlar toplamı mevsimsellikten arındırılmış verilerle aylık olarak</w:t>
      </w:r>
      <w:r w:rsidR="003933E8">
        <w:rPr>
          <w:rFonts w:ascii="Times New Roman" w:hAnsi="Times New Roman" w:cs="Times New Roman"/>
          <w:lang w:val="tr-TR"/>
        </w:rPr>
        <w:t>; b</w:t>
      </w:r>
      <w:r>
        <w:rPr>
          <w:rFonts w:ascii="Times New Roman" w:hAnsi="Times New Roman" w:cs="Times New Roman"/>
          <w:lang w:val="tr-TR"/>
        </w:rPr>
        <w:t>ir sonraki grafikte is</w:t>
      </w:r>
      <w:r w:rsidR="003933E8">
        <w:rPr>
          <w:rFonts w:ascii="Times New Roman" w:hAnsi="Times New Roman" w:cs="Times New Roman"/>
          <w:lang w:val="tr-TR"/>
        </w:rPr>
        <w:t>e</w:t>
      </w:r>
      <w:r>
        <w:rPr>
          <w:rFonts w:ascii="Times New Roman" w:hAnsi="Times New Roman" w:cs="Times New Roman"/>
          <w:lang w:val="tr-TR"/>
        </w:rPr>
        <w:t xml:space="preserve">, 2019 yılı </w:t>
      </w:r>
      <w:proofErr w:type="gramStart"/>
      <w:r>
        <w:rPr>
          <w:rFonts w:ascii="Times New Roman" w:hAnsi="Times New Roman" w:cs="Times New Roman"/>
          <w:lang w:val="tr-TR"/>
        </w:rPr>
        <w:t>baz</w:t>
      </w:r>
      <w:proofErr w:type="gramEnd"/>
      <w:r>
        <w:rPr>
          <w:rFonts w:ascii="Times New Roman" w:hAnsi="Times New Roman" w:cs="Times New Roman"/>
          <w:lang w:val="tr-TR"/>
        </w:rPr>
        <w:t xml:space="preserve"> yıl olmak üzere 2019-2025 yılları arasındaki mobilya sektörü fiziksel üretimi, mevsimsellikten arındırılmış cari fiyatlar üzerinden gösterilmektedir</w:t>
      </w:r>
      <w:r w:rsidR="003933E8">
        <w:rPr>
          <w:rStyle w:val="DipnotBavurusu"/>
          <w:rFonts w:ascii="Times New Roman" w:hAnsi="Times New Roman" w:cs="Times New Roman"/>
          <w:lang w:val="tr-TR"/>
        </w:rPr>
        <w:footnoteReference w:id="6"/>
      </w:r>
      <w:r>
        <w:rPr>
          <w:rFonts w:ascii="Times New Roman" w:hAnsi="Times New Roman" w:cs="Times New Roman"/>
          <w:lang w:val="tr-TR"/>
        </w:rPr>
        <w:t xml:space="preserve">. </w:t>
      </w:r>
    </w:p>
    <w:p w:rsidR="00334035" w:rsidRDefault="00334035" w:rsidP="00806CE9">
      <w:pPr>
        <w:pStyle w:val="ListeParagraf"/>
        <w:ind w:left="0" w:firstLine="851"/>
        <w:jc w:val="both"/>
        <w:rPr>
          <w:rFonts w:ascii="Times New Roman" w:hAnsi="Times New Roman" w:cs="Times New Roman"/>
          <w:lang w:val="tr-TR"/>
        </w:rPr>
      </w:pPr>
    </w:p>
    <w:p w:rsidR="00CC0AD7" w:rsidRDefault="00334035" w:rsidP="00CC0AD7">
      <w:pPr>
        <w:pStyle w:val="ListeParagraf"/>
        <w:ind w:left="0" w:firstLine="851"/>
        <w:jc w:val="both"/>
        <w:rPr>
          <w:rFonts w:ascii="Times New Roman" w:hAnsi="Times New Roman" w:cs="Times New Roman"/>
          <w:lang w:val="tr-TR"/>
        </w:rPr>
      </w:pPr>
      <w:r>
        <w:rPr>
          <w:rFonts w:ascii="Times New Roman" w:hAnsi="Times New Roman" w:cs="Times New Roman"/>
          <w:lang w:val="tr-TR"/>
        </w:rPr>
        <w:t xml:space="preserve">Grafiklerden genel olarak sektörde özellikle 2020 yılından itibaren </w:t>
      </w:r>
      <w:proofErr w:type="spellStart"/>
      <w:r>
        <w:rPr>
          <w:rFonts w:ascii="Times New Roman" w:hAnsi="Times New Roman" w:cs="Times New Roman"/>
          <w:lang w:val="tr-TR"/>
        </w:rPr>
        <w:t>pandeminin</w:t>
      </w:r>
      <w:proofErr w:type="spellEnd"/>
      <w:r>
        <w:rPr>
          <w:rFonts w:ascii="Times New Roman" w:hAnsi="Times New Roman" w:cs="Times New Roman"/>
          <w:lang w:val="tr-TR"/>
        </w:rPr>
        <w:t xml:space="preserve"> etkisiyle üretimde ve satışlarda belirgin bir düşüş gözlemlendiği, perakende satışların 2020 yılının ortasından itibaren evde geçirilen zamanın artışı ve </w:t>
      </w:r>
      <w:proofErr w:type="gramStart"/>
      <w:r>
        <w:rPr>
          <w:rFonts w:ascii="Times New Roman" w:hAnsi="Times New Roman" w:cs="Times New Roman"/>
          <w:lang w:val="tr-TR"/>
        </w:rPr>
        <w:t>online</w:t>
      </w:r>
      <w:proofErr w:type="gramEnd"/>
      <w:r>
        <w:rPr>
          <w:rFonts w:ascii="Times New Roman" w:hAnsi="Times New Roman" w:cs="Times New Roman"/>
          <w:lang w:val="tr-TR"/>
        </w:rPr>
        <w:t xml:space="preserve"> alışveriş tercihlerindeki sıçramaya bağlı olarak ciddi şekilde arttığı ve </w:t>
      </w:r>
      <w:proofErr w:type="spellStart"/>
      <w:r>
        <w:rPr>
          <w:rFonts w:ascii="Times New Roman" w:hAnsi="Times New Roman" w:cs="Times New Roman"/>
          <w:lang w:val="tr-TR"/>
        </w:rPr>
        <w:t>pandemi</w:t>
      </w:r>
      <w:proofErr w:type="spellEnd"/>
      <w:r>
        <w:rPr>
          <w:rFonts w:ascii="Times New Roman" w:hAnsi="Times New Roman" w:cs="Times New Roman"/>
          <w:lang w:val="tr-TR"/>
        </w:rPr>
        <w:t xml:space="preserve"> öncesi dönemdeki düzeylerine ulaştığı, ancak aynı ivmenin </w:t>
      </w:r>
      <w:r w:rsidR="00A62CBB">
        <w:rPr>
          <w:rFonts w:ascii="Times New Roman" w:hAnsi="Times New Roman" w:cs="Times New Roman"/>
          <w:lang w:val="tr-TR"/>
        </w:rPr>
        <w:t xml:space="preserve">üretimde yakalanamadığı görülmektedir. Mevsimsellikten arındırılmış fiziksel üretim endeksini gösteren grafikten, üretimin ancak </w:t>
      </w:r>
      <w:proofErr w:type="spellStart"/>
      <w:r w:rsidR="00A62CBB">
        <w:rPr>
          <w:rFonts w:ascii="Times New Roman" w:hAnsi="Times New Roman" w:cs="Times New Roman"/>
          <w:lang w:val="tr-TR"/>
        </w:rPr>
        <w:t>pandemi</w:t>
      </w:r>
      <w:proofErr w:type="spellEnd"/>
      <w:r w:rsidR="00A62CBB">
        <w:rPr>
          <w:rFonts w:ascii="Times New Roman" w:hAnsi="Times New Roman" w:cs="Times New Roman"/>
          <w:lang w:val="tr-TR"/>
        </w:rPr>
        <w:t xml:space="preserve"> öncesi dönemdeki seviyelere yaklaştığı, ancak bu seviyeleri geçemediği anlaşılmaktadır. Bu değerlendirmelerin bir sonucu olarak perakende satışlar ve aylık toplam satı </w:t>
      </w:r>
      <w:proofErr w:type="spellStart"/>
      <w:r w:rsidR="00A62CBB">
        <w:rPr>
          <w:rFonts w:ascii="Times New Roman" w:hAnsi="Times New Roman" w:cs="Times New Roman"/>
          <w:lang w:val="tr-TR"/>
        </w:rPr>
        <w:t>şrakamları</w:t>
      </w:r>
      <w:proofErr w:type="spellEnd"/>
      <w:r w:rsidR="00A62CBB">
        <w:rPr>
          <w:rFonts w:ascii="Times New Roman" w:hAnsi="Times New Roman" w:cs="Times New Roman"/>
          <w:lang w:val="tr-TR"/>
        </w:rPr>
        <w:t xml:space="preserve"> grafiklerindeki yükselişlerin ithalat kaynaklı olduğu sonucuna varılabil</w:t>
      </w:r>
      <w:r w:rsidR="00D7361E">
        <w:rPr>
          <w:rFonts w:ascii="Times New Roman" w:hAnsi="Times New Roman" w:cs="Times New Roman"/>
          <w:lang w:val="tr-TR"/>
        </w:rPr>
        <w:t xml:space="preserve">ir. </w:t>
      </w:r>
      <w:r w:rsidR="00A62CBB">
        <w:rPr>
          <w:rFonts w:ascii="Times New Roman" w:hAnsi="Times New Roman" w:cs="Times New Roman"/>
          <w:lang w:val="tr-TR"/>
        </w:rPr>
        <w:t xml:space="preserve"> </w:t>
      </w:r>
    </w:p>
    <w:p w:rsidR="00806CE9" w:rsidRDefault="00806CE9" w:rsidP="00CC0AD7">
      <w:pPr>
        <w:pStyle w:val="ListeParagraf"/>
        <w:ind w:left="0" w:firstLine="851"/>
        <w:jc w:val="both"/>
        <w:rPr>
          <w:rFonts w:ascii="Times New Roman" w:hAnsi="Times New Roman" w:cs="Times New Roman"/>
          <w:lang w:val="tr-TR"/>
        </w:rPr>
      </w:pPr>
    </w:p>
    <w:p w:rsidR="00806CE9" w:rsidRDefault="00806CE9" w:rsidP="00CC0AD7">
      <w:pPr>
        <w:pStyle w:val="ListeParagraf"/>
        <w:ind w:left="0" w:firstLine="851"/>
        <w:jc w:val="both"/>
        <w:rPr>
          <w:rFonts w:ascii="Times New Roman" w:hAnsi="Times New Roman" w:cs="Times New Roman"/>
          <w:lang w:val="tr-TR"/>
        </w:rPr>
      </w:pPr>
    </w:p>
    <w:p w:rsidR="00BF060F" w:rsidRDefault="00806CE9" w:rsidP="00CC0AD7">
      <w:pPr>
        <w:pStyle w:val="ListeParagraf"/>
        <w:ind w:left="0" w:firstLine="851"/>
        <w:jc w:val="both"/>
        <w:rPr>
          <w:rFonts w:ascii="Times New Roman" w:hAnsi="Times New Roman" w:cs="Times New Roman"/>
          <w:lang w:val="tr-TR"/>
        </w:rPr>
      </w:pPr>
      <w:r>
        <w:rPr>
          <w:noProof/>
          <w:lang w:eastAsia="en-GB"/>
        </w:rPr>
        <w:drawing>
          <wp:inline distT="0" distB="0" distL="0" distR="0" wp14:anchorId="168DB618" wp14:editId="7D1FECD8">
            <wp:extent cx="5257800" cy="3024187"/>
            <wp:effectExtent l="0" t="0" r="0" b="5080"/>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745011">
        <w:rPr>
          <w:rFonts w:ascii="Times New Roman" w:hAnsi="Times New Roman" w:cs="Times New Roman"/>
          <w:lang w:val="tr-TR"/>
        </w:rPr>
        <w:t xml:space="preserve"> </w:t>
      </w:r>
    </w:p>
    <w:p w:rsidR="00D921FA" w:rsidRDefault="00D921FA" w:rsidP="00CC0AD7">
      <w:pPr>
        <w:pStyle w:val="ListeParagraf"/>
        <w:ind w:left="0" w:firstLine="851"/>
        <w:jc w:val="both"/>
        <w:rPr>
          <w:rFonts w:ascii="Times New Roman" w:hAnsi="Times New Roman" w:cs="Times New Roman"/>
          <w:lang w:val="tr-TR"/>
        </w:rPr>
      </w:pPr>
    </w:p>
    <w:p w:rsidR="009363A7" w:rsidRDefault="009363A7" w:rsidP="00D921FA">
      <w:pPr>
        <w:pStyle w:val="ListeParagraf"/>
        <w:ind w:left="0" w:firstLine="851"/>
        <w:rPr>
          <w:rFonts w:ascii="Times New Roman" w:hAnsi="Times New Roman" w:cs="Times New Roman"/>
          <w:lang w:val="tr-TR"/>
        </w:rPr>
      </w:pPr>
    </w:p>
    <w:p w:rsidR="006A049B" w:rsidRDefault="009363A7" w:rsidP="00D921FA">
      <w:pPr>
        <w:pStyle w:val="ListeParagraf"/>
        <w:ind w:left="0" w:firstLine="851"/>
        <w:rPr>
          <w:rFonts w:ascii="Times New Roman" w:hAnsi="Times New Roman" w:cs="Times New Roman"/>
          <w:lang w:val="tr-TR"/>
        </w:rPr>
      </w:pPr>
      <w:r>
        <w:rPr>
          <w:noProof/>
          <w:lang w:eastAsia="en-GB"/>
        </w:rPr>
        <w:drawing>
          <wp:inline distT="0" distB="0" distL="0" distR="0" wp14:anchorId="00302E8B" wp14:editId="537628C4">
            <wp:extent cx="5257800" cy="2743200"/>
            <wp:effectExtent l="0" t="0" r="0" b="0"/>
            <wp:docPr id="6" name="Grafik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D921FA">
        <w:rPr>
          <w:rFonts w:ascii="Times New Roman" w:hAnsi="Times New Roman" w:cs="Times New Roman"/>
          <w:lang w:val="tr-TR"/>
        </w:rPr>
        <w:t xml:space="preserve"> </w:t>
      </w:r>
    </w:p>
    <w:p w:rsidR="006A049B" w:rsidRPr="00BF060F" w:rsidRDefault="006A049B" w:rsidP="00C53CEC">
      <w:pPr>
        <w:pStyle w:val="ListeParagraf"/>
        <w:ind w:left="0"/>
        <w:rPr>
          <w:rFonts w:ascii="Times New Roman" w:hAnsi="Times New Roman" w:cs="Times New Roman"/>
          <w:lang w:val="tr-TR"/>
        </w:rPr>
      </w:pPr>
    </w:p>
    <w:p w:rsidR="00D770A3" w:rsidRPr="00BF060F" w:rsidRDefault="00D770A3" w:rsidP="00BF060F">
      <w:pPr>
        <w:pStyle w:val="ListeParagraf"/>
        <w:rPr>
          <w:rFonts w:ascii="Times New Roman" w:hAnsi="Times New Roman" w:cs="Times New Roman"/>
          <w:lang w:val="tr-TR"/>
        </w:rPr>
      </w:pPr>
    </w:p>
    <w:p w:rsidR="000A5101" w:rsidRDefault="00A4503D" w:rsidP="006D4F86">
      <w:pPr>
        <w:ind w:left="360"/>
        <w:rPr>
          <w:rFonts w:ascii="Times New Roman" w:hAnsi="Times New Roman" w:cs="Times New Roman"/>
          <w:b/>
          <w:lang w:val="tr-TR"/>
        </w:rPr>
      </w:pPr>
      <w:r>
        <w:rPr>
          <w:rFonts w:ascii="Times New Roman" w:hAnsi="Times New Roman" w:cs="Times New Roman"/>
          <w:b/>
          <w:lang w:val="tr-TR"/>
        </w:rPr>
        <w:t>2. Ülkenin Sektörde Dış Ticareti</w:t>
      </w:r>
    </w:p>
    <w:p w:rsidR="006D4F86" w:rsidRDefault="000A5101" w:rsidP="00634C35">
      <w:pPr>
        <w:ind w:firstLine="851"/>
        <w:jc w:val="both"/>
        <w:rPr>
          <w:rFonts w:ascii="Times New Roman" w:hAnsi="Times New Roman" w:cs="Times New Roman"/>
          <w:lang w:val="tr-TR"/>
        </w:rPr>
      </w:pPr>
      <w:r>
        <w:rPr>
          <w:rFonts w:ascii="Times New Roman" w:hAnsi="Times New Roman" w:cs="Times New Roman"/>
          <w:lang w:val="tr-TR"/>
        </w:rPr>
        <w:t>Aşağıdaki grafik</w:t>
      </w:r>
      <w:r w:rsidR="00F423E1">
        <w:rPr>
          <w:rFonts w:ascii="Times New Roman" w:hAnsi="Times New Roman" w:cs="Times New Roman"/>
          <w:lang w:val="tr-TR"/>
        </w:rPr>
        <w:t xml:space="preserve">lerde </w:t>
      </w:r>
      <w:r w:rsidR="00634C35">
        <w:rPr>
          <w:rFonts w:ascii="Times New Roman" w:hAnsi="Times New Roman" w:cs="Times New Roman"/>
          <w:lang w:val="tr-TR"/>
        </w:rPr>
        <w:t xml:space="preserve">sırasıyla: mobilya sektöründe ülkenin 2019-2023 yılları arasındaki toplam ithalat ve ihracat rakamları, temel ihracat ve ithalat ürünleri ve ülkenin toplam ithalat ve ihracat içindeki payları ile toplam değerleri açısından ilk </w:t>
      </w:r>
      <w:r w:rsidR="000C2773">
        <w:rPr>
          <w:rFonts w:ascii="Times New Roman" w:hAnsi="Times New Roman" w:cs="Times New Roman"/>
          <w:lang w:val="tr-TR"/>
        </w:rPr>
        <w:t>altı</w:t>
      </w:r>
      <w:r w:rsidR="00634C35">
        <w:rPr>
          <w:rFonts w:ascii="Times New Roman" w:hAnsi="Times New Roman" w:cs="Times New Roman"/>
          <w:lang w:val="tr-TR"/>
        </w:rPr>
        <w:t xml:space="preserve"> sıradaki ithalat ve ihracat </w:t>
      </w:r>
      <w:proofErr w:type="gramStart"/>
      <w:r w:rsidR="00634C35">
        <w:rPr>
          <w:rFonts w:ascii="Times New Roman" w:hAnsi="Times New Roman" w:cs="Times New Roman"/>
          <w:lang w:val="tr-TR"/>
        </w:rPr>
        <w:t>partnerine</w:t>
      </w:r>
      <w:proofErr w:type="gramEnd"/>
      <w:r w:rsidR="00634C35">
        <w:rPr>
          <w:rFonts w:ascii="Times New Roman" w:hAnsi="Times New Roman" w:cs="Times New Roman"/>
          <w:lang w:val="tr-TR"/>
        </w:rPr>
        <w:t xml:space="preserve"> ilişkin bilgiler yer almaktadır</w:t>
      </w:r>
      <w:r w:rsidR="00634C35">
        <w:rPr>
          <w:rStyle w:val="DipnotBavurusu"/>
          <w:rFonts w:ascii="Times New Roman" w:hAnsi="Times New Roman" w:cs="Times New Roman"/>
          <w:lang w:val="tr-TR"/>
        </w:rPr>
        <w:footnoteReference w:id="7"/>
      </w:r>
      <w:r w:rsidR="00634C35">
        <w:rPr>
          <w:rFonts w:ascii="Times New Roman" w:hAnsi="Times New Roman" w:cs="Times New Roman"/>
          <w:lang w:val="tr-TR"/>
        </w:rPr>
        <w:t>.</w:t>
      </w:r>
    </w:p>
    <w:p w:rsidR="00634C35" w:rsidRPr="000A5101" w:rsidRDefault="00634C35" w:rsidP="000C2773">
      <w:pPr>
        <w:ind w:firstLine="851"/>
        <w:jc w:val="both"/>
        <w:rPr>
          <w:rFonts w:ascii="Times New Roman" w:hAnsi="Times New Roman" w:cs="Times New Roman"/>
          <w:lang w:val="tr-TR"/>
        </w:rPr>
      </w:pPr>
      <w:r>
        <w:rPr>
          <w:rFonts w:ascii="Times New Roman" w:hAnsi="Times New Roman" w:cs="Times New Roman"/>
          <w:lang w:val="tr-TR"/>
        </w:rPr>
        <w:lastRenderedPageBreak/>
        <w:t xml:space="preserve">Grafiklerden de görüleceği üzere, </w:t>
      </w:r>
      <w:r w:rsidR="000C2773">
        <w:rPr>
          <w:rFonts w:ascii="Times New Roman" w:hAnsi="Times New Roman" w:cs="Times New Roman"/>
          <w:lang w:val="tr-TR"/>
        </w:rPr>
        <w:t xml:space="preserve">2020 yılından itibaren sektörde ithalatta bir artış dikkati çekmektedir. En çok ithalatı ve ihracatı yapılan ürünlerin koltuk, yatak ve diğer mobilya ürünlerinden oluştuğu, ancak sıralamanın ithalat ve ihracat açısından farklılaştığı görülmektedir. </w:t>
      </w:r>
    </w:p>
    <w:p w:rsidR="00F26A14" w:rsidRPr="000A5101" w:rsidRDefault="000A5101" w:rsidP="00F26A14">
      <w:pPr>
        <w:jc w:val="both"/>
        <w:rPr>
          <w:rFonts w:ascii="Times New Roman" w:hAnsi="Times New Roman" w:cs="Times New Roman"/>
          <w:lang w:val="en-ZA"/>
        </w:rPr>
      </w:pPr>
      <w:r w:rsidRPr="000A5101">
        <w:rPr>
          <w:rFonts w:ascii="Times New Roman" w:hAnsi="Times New Roman" w:cs="Times New Roman"/>
          <w:lang w:val="en-ZA"/>
        </w:rPr>
        <w:drawing>
          <wp:inline distT="0" distB="0" distL="0" distR="0" wp14:anchorId="5B1C1222" wp14:editId="11429264">
            <wp:extent cx="5750805" cy="4572743"/>
            <wp:effectExtent l="19050" t="19050" r="21590" b="1841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6536" cy="4585251"/>
                    </a:xfrm>
                    <a:prstGeom prst="rect">
                      <a:avLst/>
                    </a:prstGeom>
                    <a:ln w="19050">
                      <a:solidFill>
                        <a:schemeClr val="tx1"/>
                      </a:solidFill>
                    </a:ln>
                  </pic:spPr>
                </pic:pic>
              </a:graphicData>
            </a:graphic>
          </wp:inline>
        </w:drawing>
      </w:r>
    </w:p>
    <w:p w:rsidR="000C2773" w:rsidRDefault="00634C35" w:rsidP="00B50FE3">
      <w:pPr>
        <w:rPr>
          <w:rFonts w:ascii="Times New Roman" w:hAnsi="Times New Roman" w:cs="Times New Roman"/>
          <w:b/>
          <w:lang w:val="tr-TR"/>
        </w:rPr>
      </w:pPr>
      <w:r w:rsidRPr="00634C35">
        <w:rPr>
          <w:rFonts w:ascii="Times New Roman" w:hAnsi="Times New Roman" w:cs="Times New Roman"/>
          <w:b/>
          <w:lang w:val="tr-TR"/>
        </w:rPr>
        <w:drawing>
          <wp:inline distT="0" distB="0" distL="0" distR="0" wp14:anchorId="7ADC83B8" wp14:editId="3207705F">
            <wp:extent cx="5750560" cy="2932837"/>
            <wp:effectExtent l="19050" t="19050" r="21590" b="203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2575" cy="2954265"/>
                    </a:xfrm>
                    <a:prstGeom prst="rect">
                      <a:avLst/>
                    </a:prstGeom>
                    <a:ln w="19050">
                      <a:solidFill>
                        <a:schemeClr val="tx1"/>
                      </a:solidFill>
                    </a:ln>
                  </pic:spPr>
                </pic:pic>
              </a:graphicData>
            </a:graphic>
          </wp:inline>
        </w:drawing>
      </w:r>
    </w:p>
    <w:p w:rsidR="006D4F86" w:rsidRDefault="006D4F86" w:rsidP="000C2773">
      <w:pPr>
        <w:rPr>
          <w:rFonts w:ascii="Times New Roman" w:hAnsi="Times New Roman" w:cs="Times New Roman"/>
          <w:lang w:val="tr-TR"/>
        </w:rPr>
      </w:pPr>
    </w:p>
    <w:p w:rsidR="000C2773" w:rsidRDefault="000C2773" w:rsidP="000C2773">
      <w:pPr>
        <w:rPr>
          <w:rFonts w:ascii="Times New Roman" w:hAnsi="Times New Roman" w:cs="Times New Roman"/>
          <w:lang w:val="tr-TR"/>
        </w:rPr>
      </w:pPr>
    </w:p>
    <w:p w:rsidR="000C2773" w:rsidRPr="000C2773" w:rsidRDefault="000C2773" w:rsidP="00E027EE">
      <w:pPr>
        <w:ind w:firstLine="851"/>
        <w:jc w:val="both"/>
        <w:rPr>
          <w:rFonts w:ascii="Times New Roman" w:hAnsi="Times New Roman" w:cs="Times New Roman"/>
          <w:lang w:val="tr-TR"/>
        </w:rPr>
      </w:pPr>
      <w:r>
        <w:rPr>
          <w:rFonts w:ascii="Times New Roman" w:hAnsi="Times New Roman" w:cs="Times New Roman"/>
          <w:lang w:val="tr-TR"/>
        </w:rPr>
        <w:t xml:space="preserve">Ülkenin ihracat yaptığı ülkelerin sınır komşuları olan Afrika ülkeleri olduğu görülmekte, temel ithalat </w:t>
      </w:r>
      <w:proofErr w:type="gramStart"/>
      <w:r>
        <w:rPr>
          <w:rFonts w:ascii="Times New Roman" w:hAnsi="Times New Roman" w:cs="Times New Roman"/>
          <w:lang w:val="tr-TR"/>
        </w:rPr>
        <w:t>partnerleri</w:t>
      </w:r>
      <w:proofErr w:type="gramEnd"/>
      <w:r>
        <w:rPr>
          <w:rFonts w:ascii="Times New Roman" w:hAnsi="Times New Roman" w:cs="Times New Roman"/>
          <w:lang w:val="tr-TR"/>
        </w:rPr>
        <w:t xml:space="preserve"> sıralamasında Çin’in başı çektiği, onu Polonya, Tayland, Almanya, İspany</w:t>
      </w:r>
      <w:r w:rsidR="00B50FE3">
        <w:rPr>
          <w:rFonts w:ascii="Times New Roman" w:hAnsi="Times New Roman" w:cs="Times New Roman"/>
          <w:lang w:val="tr-TR"/>
        </w:rPr>
        <w:t>a ve Macaristan’</w:t>
      </w:r>
      <w:r>
        <w:rPr>
          <w:rFonts w:ascii="Times New Roman" w:hAnsi="Times New Roman" w:cs="Times New Roman"/>
          <w:lang w:val="tr-TR"/>
        </w:rPr>
        <w:t xml:space="preserve">ın izlediği görülmektedir. </w:t>
      </w:r>
    </w:p>
    <w:p w:rsidR="00634C35" w:rsidRDefault="00634C35" w:rsidP="000C2773">
      <w:pPr>
        <w:rPr>
          <w:rFonts w:ascii="Times New Roman" w:hAnsi="Times New Roman" w:cs="Times New Roman"/>
          <w:b/>
          <w:lang w:val="tr-TR"/>
        </w:rPr>
      </w:pPr>
      <w:r w:rsidRPr="00634C35">
        <w:rPr>
          <w:rFonts w:ascii="Times New Roman" w:hAnsi="Times New Roman" w:cs="Times New Roman"/>
          <w:b/>
          <w:lang w:val="tr-TR"/>
        </w:rPr>
        <w:drawing>
          <wp:inline distT="0" distB="0" distL="0" distR="0" wp14:anchorId="2D04A690" wp14:editId="2E2EF079">
            <wp:extent cx="5940425" cy="2458720"/>
            <wp:effectExtent l="19050" t="19050" r="22225" b="1778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7883" cy="2461807"/>
                    </a:xfrm>
                    <a:prstGeom prst="rect">
                      <a:avLst/>
                    </a:prstGeom>
                    <a:ln w="15875">
                      <a:solidFill>
                        <a:schemeClr val="tx1"/>
                      </a:solidFill>
                    </a:ln>
                  </pic:spPr>
                </pic:pic>
              </a:graphicData>
            </a:graphic>
          </wp:inline>
        </w:drawing>
      </w:r>
    </w:p>
    <w:p w:rsidR="00634C35" w:rsidRDefault="00634C35" w:rsidP="00A4503D">
      <w:pPr>
        <w:ind w:left="360"/>
        <w:rPr>
          <w:rFonts w:ascii="Times New Roman" w:hAnsi="Times New Roman" w:cs="Times New Roman"/>
          <w:b/>
          <w:lang w:val="tr-TR"/>
        </w:rPr>
      </w:pPr>
    </w:p>
    <w:p w:rsidR="00A4503D" w:rsidRPr="00E027EE" w:rsidRDefault="00E027EE" w:rsidP="00E027EE">
      <w:pPr>
        <w:ind w:left="360"/>
        <w:rPr>
          <w:rFonts w:ascii="Times New Roman" w:hAnsi="Times New Roman" w:cs="Times New Roman"/>
          <w:b/>
          <w:lang w:val="tr-TR"/>
        </w:rPr>
      </w:pPr>
      <w:r w:rsidRPr="00E027EE">
        <w:rPr>
          <w:rFonts w:ascii="Times New Roman" w:hAnsi="Times New Roman" w:cs="Times New Roman"/>
          <w:b/>
          <w:lang w:val="tr-TR"/>
        </w:rPr>
        <w:t>3.</w:t>
      </w:r>
      <w:r>
        <w:rPr>
          <w:rFonts w:ascii="Times New Roman" w:hAnsi="Times New Roman" w:cs="Times New Roman"/>
          <w:b/>
          <w:lang w:val="tr-TR"/>
        </w:rPr>
        <w:t xml:space="preserve"> </w:t>
      </w:r>
      <w:r w:rsidR="00A4503D" w:rsidRPr="00E027EE">
        <w:rPr>
          <w:rFonts w:ascii="Times New Roman" w:hAnsi="Times New Roman" w:cs="Times New Roman"/>
          <w:b/>
          <w:lang w:val="tr-TR"/>
        </w:rPr>
        <w:t>Sektörde Ülkemizden İhracat</w:t>
      </w:r>
    </w:p>
    <w:p w:rsidR="00E027EE" w:rsidRDefault="00B50FE3" w:rsidP="00B50FE3">
      <w:pPr>
        <w:ind w:firstLine="851"/>
        <w:jc w:val="both"/>
        <w:rPr>
          <w:rFonts w:ascii="Times New Roman" w:hAnsi="Times New Roman" w:cs="Times New Roman"/>
          <w:lang w:val="tr-TR"/>
        </w:rPr>
      </w:pPr>
      <w:proofErr w:type="gramStart"/>
      <w:r>
        <w:rPr>
          <w:rFonts w:ascii="Times New Roman" w:hAnsi="Times New Roman" w:cs="Times New Roman"/>
          <w:lang w:val="tr-TR"/>
        </w:rPr>
        <w:t xml:space="preserve">2017-2024 yılları arasında </w:t>
      </w:r>
      <w:r w:rsidRPr="00B50FE3">
        <w:rPr>
          <w:rFonts w:ascii="Times New Roman" w:hAnsi="Times New Roman" w:cs="Times New Roman"/>
          <w:lang w:val="tr-TR"/>
        </w:rPr>
        <w:t xml:space="preserve">94 fasıl kodunda </w:t>
      </w:r>
      <w:r>
        <w:rPr>
          <w:rFonts w:ascii="Times New Roman" w:hAnsi="Times New Roman" w:cs="Times New Roman"/>
          <w:lang w:val="tr-TR"/>
        </w:rPr>
        <w:t>(</w:t>
      </w:r>
      <w:r w:rsidRPr="00B50FE3">
        <w:rPr>
          <w:rFonts w:ascii="Times New Roman" w:hAnsi="Times New Roman" w:cs="Times New Roman"/>
          <w:lang w:val="tr-TR"/>
        </w:rPr>
        <w:t>Mobilyalar, Tıpta Veya Cerrahide Kullanılan Mobilyalar, Yatak Takımları Ve Benzeri Doldurulmuş Eşya; Tarifenin Başka Yerinde Belirtilmeyen Veya Yer Almayan Aydınlatma Cihazları; Reklam Lambaları, Işıklı Tabelalar, Işıklı İsim Plakaları Ve Benzerleri; Prefabrik Yapılar</w:t>
      </w:r>
      <w:r>
        <w:rPr>
          <w:rFonts w:ascii="Times New Roman" w:hAnsi="Times New Roman" w:cs="Times New Roman"/>
          <w:lang w:val="tr-TR"/>
        </w:rPr>
        <w:t>)</w:t>
      </w:r>
      <w:r w:rsidRPr="00B50FE3">
        <w:rPr>
          <w:rFonts w:ascii="Times New Roman" w:hAnsi="Times New Roman" w:cs="Times New Roman"/>
          <w:lang w:val="tr-TR"/>
        </w:rPr>
        <w:t xml:space="preserve"> Güney Afrika’ya Türkiye’den yapılan mobilya ihracatının </w:t>
      </w:r>
      <w:r>
        <w:rPr>
          <w:rFonts w:ascii="Times New Roman" w:hAnsi="Times New Roman" w:cs="Times New Roman"/>
          <w:lang w:val="tr-TR"/>
        </w:rPr>
        <w:t xml:space="preserve">bu fasıl kodunun </w:t>
      </w:r>
      <w:r w:rsidRPr="00B50FE3">
        <w:rPr>
          <w:rFonts w:ascii="Times New Roman" w:hAnsi="Times New Roman" w:cs="Times New Roman"/>
          <w:lang w:val="tr-TR"/>
        </w:rPr>
        <w:t>farklı pozisyonlardaki eşya gruplarına göre değerlerine aşağıdaki grafikte yer verilmektedir</w:t>
      </w:r>
      <w:r>
        <w:rPr>
          <w:rStyle w:val="DipnotBavurusu"/>
          <w:rFonts w:ascii="Times New Roman" w:hAnsi="Times New Roman" w:cs="Times New Roman"/>
          <w:lang w:val="tr-TR"/>
        </w:rPr>
        <w:footnoteReference w:id="8"/>
      </w:r>
      <w:r w:rsidR="00A219EA">
        <w:rPr>
          <w:rFonts w:ascii="Times New Roman" w:hAnsi="Times New Roman" w:cs="Times New Roman"/>
          <w:vertAlign w:val="superscript"/>
          <w:lang w:val="tr-TR"/>
        </w:rPr>
        <w:t>,</w:t>
      </w:r>
      <w:r w:rsidR="00A219EA">
        <w:rPr>
          <w:rStyle w:val="DipnotBavurusu"/>
          <w:rFonts w:ascii="Times New Roman" w:hAnsi="Times New Roman" w:cs="Times New Roman"/>
          <w:lang w:val="tr-TR"/>
        </w:rPr>
        <w:footnoteReference w:id="9"/>
      </w:r>
      <w:r w:rsidRPr="00B50FE3">
        <w:rPr>
          <w:rFonts w:ascii="Times New Roman" w:hAnsi="Times New Roman" w:cs="Times New Roman"/>
          <w:lang w:val="tr-TR"/>
        </w:rPr>
        <w:t xml:space="preserve">. </w:t>
      </w:r>
      <w:proofErr w:type="gramEnd"/>
    </w:p>
    <w:p w:rsidR="00B50FE3" w:rsidRDefault="00B50FE3" w:rsidP="00B50FE3">
      <w:pPr>
        <w:ind w:firstLine="851"/>
        <w:jc w:val="both"/>
        <w:rPr>
          <w:rFonts w:ascii="Times New Roman" w:hAnsi="Times New Roman" w:cs="Times New Roman"/>
          <w:lang w:val="tr-TR"/>
        </w:rPr>
      </w:pPr>
      <w:r>
        <w:rPr>
          <w:rFonts w:ascii="Times New Roman" w:hAnsi="Times New Roman" w:cs="Times New Roman"/>
          <w:lang w:val="tr-TR"/>
        </w:rPr>
        <w:t xml:space="preserve">Buna göre </w:t>
      </w:r>
      <w:r w:rsidR="00A219EA">
        <w:rPr>
          <w:rFonts w:ascii="Times New Roman" w:hAnsi="Times New Roman" w:cs="Times New Roman"/>
          <w:lang w:val="tr-TR"/>
        </w:rPr>
        <w:t xml:space="preserve">Türkiye’den yapılan mobilya ihracatında 2020 yılında yaşanan </w:t>
      </w:r>
      <w:proofErr w:type="spellStart"/>
      <w:r w:rsidR="00A219EA">
        <w:rPr>
          <w:rFonts w:ascii="Times New Roman" w:hAnsi="Times New Roman" w:cs="Times New Roman"/>
          <w:lang w:val="tr-TR"/>
        </w:rPr>
        <w:t>pandeminin</w:t>
      </w:r>
      <w:proofErr w:type="spellEnd"/>
      <w:r w:rsidR="00A219EA">
        <w:rPr>
          <w:rFonts w:ascii="Times New Roman" w:hAnsi="Times New Roman" w:cs="Times New Roman"/>
          <w:lang w:val="tr-TR"/>
        </w:rPr>
        <w:t xml:space="preserve"> etkisiyle tıbbi amaçlı mobilyalar dışındaki hemen tüm ürün gruplarında bir düşüş gerçekleşmiş, bu yılın ardından genel olarak belirgin bir toparlanma yaşanmıştır. Mobilya ihracatında en büyük kalem </w:t>
      </w:r>
      <w:r w:rsidR="00CC1590">
        <w:rPr>
          <w:rFonts w:ascii="Times New Roman" w:hAnsi="Times New Roman" w:cs="Times New Roman"/>
          <w:lang w:val="tr-TR"/>
        </w:rPr>
        <w:t>“</w:t>
      </w:r>
      <w:r w:rsidR="00A219EA">
        <w:rPr>
          <w:rFonts w:ascii="Times New Roman" w:hAnsi="Times New Roman" w:cs="Times New Roman"/>
          <w:lang w:val="tr-TR"/>
        </w:rPr>
        <w:t>koltuk</w:t>
      </w:r>
      <w:r w:rsidR="00CC1590">
        <w:rPr>
          <w:rFonts w:ascii="Times New Roman" w:hAnsi="Times New Roman" w:cs="Times New Roman"/>
          <w:lang w:val="tr-TR"/>
        </w:rPr>
        <w:t xml:space="preserve">”, onun ardından da “mobilya ve bunların parçaları” ürün gruplarına ait olmuştur. Tıbbi amaçlı mobilya ürün grubu ihracatının </w:t>
      </w:r>
      <w:proofErr w:type="spellStart"/>
      <w:r w:rsidR="00CC1590">
        <w:rPr>
          <w:rFonts w:ascii="Times New Roman" w:hAnsi="Times New Roman" w:cs="Times New Roman"/>
          <w:lang w:val="tr-TR"/>
        </w:rPr>
        <w:t>pandemi</w:t>
      </w:r>
      <w:proofErr w:type="spellEnd"/>
      <w:r w:rsidR="00CC1590">
        <w:rPr>
          <w:rFonts w:ascii="Times New Roman" w:hAnsi="Times New Roman" w:cs="Times New Roman"/>
          <w:lang w:val="tr-TR"/>
        </w:rPr>
        <w:t xml:space="preserve"> döneminde diğer grupların aksine belirgin bir artış göstermesi ve söz konusu artışın veri dönemi boyunca belli bir ivmeyle devam etmesi dikkat çekicidir. </w:t>
      </w:r>
    </w:p>
    <w:p w:rsidR="00B50FE3" w:rsidRPr="00B50FE3" w:rsidRDefault="00B50FE3" w:rsidP="00B50FE3">
      <w:pPr>
        <w:ind w:firstLine="851"/>
        <w:jc w:val="both"/>
        <w:rPr>
          <w:rFonts w:ascii="Times New Roman" w:hAnsi="Times New Roman" w:cs="Times New Roman"/>
          <w:lang w:val="tr-TR"/>
        </w:rPr>
      </w:pPr>
      <w:r>
        <w:rPr>
          <w:noProof/>
          <w:lang w:eastAsia="en-GB"/>
        </w:rPr>
        <w:lastRenderedPageBreak/>
        <w:drawing>
          <wp:inline distT="0" distB="0" distL="0" distR="0" wp14:anchorId="5C693BBE" wp14:editId="5936A32F">
            <wp:extent cx="4521200" cy="8863330"/>
            <wp:effectExtent l="0" t="0" r="12700" b="13970"/>
            <wp:docPr id="11" name="Grafik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4503D" w:rsidRDefault="00A4503D" w:rsidP="00A4503D">
      <w:pPr>
        <w:ind w:left="360"/>
        <w:rPr>
          <w:rFonts w:ascii="Times New Roman" w:hAnsi="Times New Roman" w:cs="Times New Roman"/>
          <w:b/>
          <w:lang w:val="tr-TR"/>
        </w:rPr>
      </w:pPr>
      <w:r>
        <w:rPr>
          <w:rFonts w:ascii="Times New Roman" w:hAnsi="Times New Roman" w:cs="Times New Roman"/>
          <w:b/>
          <w:lang w:val="tr-TR"/>
        </w:rPr>
        <w:lastRenderedPageBreak/>
        <w:t>4. Sektörde İhracat Yoluyla Pazara Giriş</w:t>
      </w:r>
    </w:p>
    <w:p w:rsidR="009F06F9" w:rsidRPr="00B05BDA" w:rsidRDefault="0093598B" w:rsidP="009F06F9">
      <w:pPr>
        <w:ind w:firstLine="851"/>
        <w:jc w:val="both"/>
        <w:rPr>
          <w:rFonts w:ascii="Times New Roman" w:hAnsi="Times New Roman" w:cs="Times New Roman"/>
          <w:lang w:val="tr-TR"/>
        </w:rPr>
      </w:pPr>
      <w:proofErr w:type="gramStart"/>
      <w:r>
        <w:rPr>
          <w:rFonts w:ascii="Times New Roman" w:hAnsi="Times New Roman" w:cs="Times New Roman"/>
          <w:lang w:val="tr-TR"/>
        </w:rPr>
        <w:t xml:space="preserve">94 fasıl kodunda yer alan mobilya ürünleri için </w:t>
      </w:r>
      <w:r w:rsidR="00B05BDA">
        <w:rPr>
          <w:rFonts w:ascii="Times New Roman" w:hAnsi="Times New Roman" w:cs="Times New Roman"/>
          <w:lang w:val="tr-TR"/>
        </w:rPr>
        <w:t xml:space="preserve">GAC tarafından </w:t>
      </w:r>
      <w:r>
        <w:rPr>
          <w:rFonts w:ascii="Times New Roman" w:hAnsi="Times New Roman" w:cs="Times New Roman"/>
          <w:lang w:val="tr-TR"/>
        </w:rPr>
        <w:t xml:space="preserve">Türkiye’den yapılan ithalata uygulanan vergi oranı genel olarak %20 iken (bazı aydınlatma araçları, dişçi koltuğu gibi az sayıda tıbbi mobilya ürünü için %0 vergi oranı uygulanmaktadır), aynı fasıldaki birçok ürün grubunda AB üyesi ülkeler ile İngiltere, MERCOSUR, SADC ve </w:t>
      </w:r>
      <w:proofErr w:type="spellStart"/>
      <w:r>
        <w:rPr>
          <w:rFonts w:ascii="Times New Roman" w:hAnsi="Times New Roman" w:cs="Times New Roman"/>
          <w:lang w:val="tr-TR"/>
        </w:rPr>
        <w:t>AfCFTA</w:t>
      </w:r>
      <w:proofErr w:type="spellEnd"/>
      <w:r>
        <w:rPr>
          <w:rFonts w:ascii="Times New Roman" w:hAnsi="Times New Roman" w:cs="Times New Roman"/>
          <w:lang w:val="tr-TR"/>
        </w:rPr>
        <w:t xml:space="preserve"> ülkeleri için ve bir kısım ürün grubunda EFTA ülkeleri için vergi oranı sıfır olarak uygulanmaktadır. </w:t>
      </w:r>
      <w:proofErr w:type="gramEnd"/>
      <w:r w:rsidR="009F06F9">
        <w:rPr>
          <w:rFonts w:ascii="Times New Roman" w:hAnsi="Times New Roman" w:cs="Times New Roman"/>
          <w:lang w:val="tr-TR"/>
        </w:rPr>
        <w:t>Bu anlamda ihracatçılarımızın ülke pazarına girişinde ciddi bir vergi dezavantajı bulunduğunu söylemek mümkündür.</w:t>
      </w:r>
    </w:p>
    <w:p w:rsidR="009F06F9" w:rsidRDefault="00A4503D" w:rsidP="00675C10">
      <w:pPr>
        <w:ind w:left="360"/>
        <w:rPr>
          <w:rFonts w:ascii="Times New Roman" w:hAnsi="Times New Roman" w:cs="Times New Roman"/>
          <w:b/>
          <w:lang w:val="tr-TR"/>
        </w:rPr>
      </w:pPr>
      <w:r>
        <w:rPr>
          <w:rFonts w:ascii="Times New Roman" w:hAnsi="Times New Roman" w:cs="Times New Roman"/>
          <w:b/>
          <w:lang w:val="tr-TR"/>
        </w:rPr>
        <w:t>5. Sektörde İhracatçılarımızı Be</w:t>
      </w:r>
      <w:r w:rsidR="008B384E">
        <w:rPr>
          <w:rFonts w:ascii="Times New Roman" w:hAnsi="Times New Roman" w:cs="Times New Roman"/>
          <w:b/>
          <w:lang w:val="tr-TR"/>
        </w:rPr>
        <w:t>kleyen Fırsatlar /</w:t>
      </w:r>
      <w:r>
        <w:rPr>
          <w:rFonts w:ascii="Times New Roman" w:hAnsi="Times New Roman" w:cs="Times New Roman"/>
          <w:b/>
          <w:lang w:val="tr-TR"/>
        </w:rPr>
        <w:t xml:space="preserve"> </w:t>
      </w:r>
      <w:r w:rsidR="008B384E">
        <w:rPr>
          <w:rFonts w:ascii="Times New Roman" w:hAnsi="Times New Roman" w:cs="Times New Roman"/>
          <w:b/>
          <w:lang w:val="tr-TR"/>
        </w:rPr>
        <w:t>Tehditler</w:t>
      </w:r>
      <w:r w:rsidR="00675C10">
        <w:rPr>
          <w:rFonts w:ascii="Times New Roman" w:hAnsi="Times New Roman" w:cs="Times New Roman"/>
          <w:b/>
          <w:lang w:val="tr-TR"/>
        </w:rPr>
        <w:t xml:space="preserve"> / İhracatın Artırılması İçin Firmalara Öneriler</w:t>
      </w:r>
    </w:p>
    <w:p w:rsidR="009F06F9" w:rsidRDefault="009F06F9" w:rsidP="008B384E">
      <w:pPr>
        <w:ind w:firstLine="851"/>
        <w:jc w:val="both"/>
        <w:rPr>
          <w:rFonts w:ascii="Times New Roman" w:hAnsi="Times New Roman" w:cs="Times New Roman"/>
          <w:lang w:val="tr-TR"/>
        </w:rPr>
      </w:pPr>
      <w:r>
        <w:rPr>
          <w:rFonts w:ascii="Times New Roman" w:hAnsi="Times New Roman" w:cs="Times New Roman"/>
          <w:lang w:val="tr-TR"/>
        </w:rPr>
        <w:t xml:space="preserve">Güney Afrika’da mobilya sektörü, son yıllarda alınmaya çalışılan bir takım tedbirlerle güçlendirilmeye çalışılan bir sektör olsa </w:t>
      </w:r>
      <w:r w:rsidR="008B384E">
        <w:rPr>
          <w:rFonts w:ascii="Times New Roman" w:hAnsi="Times New Roman" w:cs="Times New Roman"/>
          <w:lang w:val="tr-TR"/>
        </w:rPr>
        <w:t xml:space="preserve">da, henüz hedeflenen potansiyele ulaşamadığı anlaşılmaktadır. Bunun sebepleri arasında üretimin yerel ve küçük ölçekte kalması, dayanıklılık, kalite ve tasarım açısından geniş kitlelere ulaşabilecek özellikleri taşımaması sayılabilir. Ancak hem fiili duruma ilişkin istatistikler hem de yakın geleceğe ilişkin analiz ve tahminler, </w:t>
      </w:r>
      <w:proofErr w:type="spellStart"/>
      <w:r w:rsidR="008B384E">
        <w:rPr>
          <w:rFonts w:ascii="Times New Roman" w:hAnsi="Times New Roman" w:cs="Times New Roman"/>
          <w:lang w:val="tr-TR"/>
        </w:rPr>
        <w:t>sektörel</w:t>
      </w:r>
      <w:proofErr w:type="spellEnd"/>
      <w:r w:rsidR="008B384E">
        <w:rPr>
          <w:rFonts w:ascii="Times New Roman" w:hAnsi="Times New Roman" w:cs="Times New Roman"/>
          <w:lang w:val="tr-TR"/>
        </w:rPr>
        <w:t xml:space="preserve"> talebin artarak devam edeceğini göstermektedir. Bu anlamda ihracatçılarımız açısından değerlendirilmesi gereken pazarlardan biri olduğu söylenebilir. </w:t>
      </w:r>
    </w:p>
    <w:p w:rsidR="008B384E" w:rsidRDefault="008B384E" w:rsidP="008B384E">
      <w:pPr>
        <w:ind w:firstLine="851"/>
        <w:jc w:val="both"/>
        <w:rPr>
          <w:rFonts w:ascii="Times New Roman" w:hAnsi="Times New Roman" w:cs="Times New Roman"/>
          <w:lang w:val="tr-TR"/>
        </w:rPr>
      </w:pPr>
      <w:r>
        <w:rPr>
          <w:rFonts w:ascii="Times New Roman" w:hAnsi="Times New Roman" w:cs="Times New Roman"/>
          <w:lang w:val="tr-TR"/>
        </w:rPr>
        <w:t xml:space="preserve">İhracatçılarımızın pazara girişte karşılaşabileceği en temel </w:t>
      </w:r>
      <w:proofErr w:type="gramStart"/>
      <w:r>
        <w:rPr>
          <w:rFonts w:ascii="Times New Roman" w:hAnsi="Times New Roman" w:cs="Times New Roman"/>
          <w:lang w:val="tr-TR"/>
        </w:rPr>
        <w:t>handikap</w:t>
      </w:r>
      <w:proofErr w:type="gramEnd"/>
      <w:r>
        <w:rPr>
          <w:rFonts w:ascii="Times New Roman" w:hAnsi="Times New Roman" w:cs="Times New Roman"/>
          <w:lang w:val="tr-TR"/>
        </w:rPr>
        <w:t xml:space="preserve">, ülkemiz için uygulanmakta olan vergi oranlarının yüksekliği ve bunun Çin, bazı Uzakdoğu ülkeleri ve </w:t>
      </w:r>
      <w:r w:rsidR="00675C10">
        <w:rPr>
          <w:rFonts w:ascii="Times New Roman" w:hAnsi="Times New Roman" w:cs="Times New Roman"/>
          <w:lang w:val="tr-TR"/>
        </w:rPr>
        <w:t xml:space="preserve">AB ülkelerindeki rakip firmalarla karşılaştırıldığında büyük bir maliyet dezavantajı yaratma potansiyelidir. </w:t>
      </w:r>
    </w:p>
    <w:p w:rsidR="00675C10" w:rsidRDefault="00675C10" w:rsidP="008B384E">
      <w:pPr>
        <w:ind w:firstLine="851"/>
        <w:jc w:val="both"/>
        <w:rPr>
          <w:rFonts w:ascii="Times New Roman" w:hAnsi="Times New Roman" w:cs="Times New Roman"/>
          <w:lang w:val="tr-TR"/>
        </w:rPr>
      </w:pPr>
      <w:r>
        <w:rPr>
          <w:rFonts w:ascii="Times New Roman" w:hAnsi="Times New Roman" w:cs="Times New Roman"/>
          <w:lang w:val="tr-TR"/>
        </w:rPr>
        <w:t>Ancak ülkemiz mobilya sektöründeki üretim kalitesi</w:t>
      </w:r>
      <w:r w:rsidR="00CA4E00">
        <w:rPr>
          <w:rFonts w:ascii="Times New Roman" w:hAnsi="Times New Roman" w:cs="Times New Roman"/>
          <w:lang w:val="tr-TR"/>
        </w:rPr>
        <w:t>nin</w:t>
      </w:r>
      <w:r w:rsidR="00834AFD">
        <w:rPr>
          <w:rFonts w:ascii="Times New Roman" w:hAnsi="Times New Roman" w:cs="Times New Roman"/>
          <w:lang w:val="tr-TR"/>
        </w:rPr>
        <w:t xml:space="preserve"> belli bir seviyede bulunmasının</w:t>
      </w:r>
      <w:r>
        <w:rPr>
          <w:rFonts w:ascii="Times New Roman" w:hAnsi="Times New Roman" w:cs="Times New Roman"/>
          <w:lang w:val="tr-TR"/>
        </w:rPr>
        <w:t xml:space="preserve">, </w:t>
      </w:r>
      <w:r w:rsidR="00C43006">
        <w:rPr>
          <w:rFonts w:ascii="Times New Roman" w:hAnsi="Times New Roman" w:cs="Times New Roman"/>
          <w:lang w:val="tr-TR"/>
        </w:rPr>
        <w:t xml:space="preserve">gerek </w:t>
      </w:r>
      <w:r>
        <w:rPr>
          <w:rFonts w:ascii="Times New Roman" w:hAnsi="Times New Roman" w:cs="Times New Roman"/>
          <w:lang w:val="tr-TR"/>
        </w:rPr>
        <w:t>yukarıda atıf yapılan</w:t>
      </w:r>
      <w:r w:rsidR="00C43006">
        <w:rPr>
          <w:rFonts w:ascii="Times New Roman" w:hAnsi="Times New Roman" w:cs="Times New Roman"/>
          <w:lang w:val="tr-TR"/>
        </w:rPr>
        <w:t xml:space="preserve"> </w:t>
      </w:r>
      <w:r w:rsidR="00C43006">
        <w:rPr>
          <w:rFonts w:ascii="Times New Roman" w:hAnsi="Times New Roman" w:cs="Times New Roman"/>
          <w:lang w:val="tr-TR"/>
        </w:rPr>
        <w:t>Master Planda</w:t>
      </w:r>
      <w:r w:rsidR="00C43006">
        <w:rPr>
          <w:rFonts w:ascii="Times New Roman" w:hAnsi="Times New Roman" w:cs="Times New Roman"/>
          <w:lang w:val="tr-TR"/>
        </w:rPr>
        <w:t xml:space="preserve"> </w:t>
      </w:r>
      <w:r w:rsidR="00834AFD">
        <w:rPr>
          <w:rFonts w:ascii="Times New Roman" w:hAnsi="Times New Roman" w:cs="Times New Roman"/>
          <w:lang w:val="tr-TR"/>
        </w:rPr>
        <w:t>tanımlanan</w:t>
      </w:r>
      <w:r w:rsidR="00C43006">
        <w:rPr>
          <w:rFonts w:ascii="Times New Roman" w:hAnsi="Times New Roman" w:cs="Times New Roman"/>
          <w:lang w:val="tr-TR"/>
        </w:rPr>
        <w:t>,</w:t>
      </w:r>
      <w:r>
        <w:rPr>
          <w:rFonts w:ascii="Times New Roman" w:hAnsi="Times New Roman" w:cs="Times New Roman"/>
          <w:lang w:val="tr-TR"/>
        </w:rPr>
        <w:t xml:space="preserve"> </w:t>
      </w:r>
      <w:r w:rsidR="00834AFD">
        <w:rPr>
          <w:rFonts w:ascii="Times New Roman" w:hAnsi="Times New Roman" w:cs="Times New Roman"/>
          <w:lang w:val="tr-TR"/>
        </w:rPr>
        <w:t>ürünün “evladiyelik” olmasına</w:t>
      </w:r>
      <w:r>
        <w:rPr>
          <w:rFonts w:ascii="Times New Roman" w:hAnsi="Times New Roman" w:cs="Times New Roman"/>
          <w:lang w:val="tr-TR"/>
        </w:rPr>
        <w:t>, yani babadan oğula geçerek kullanılabilecek dayanıklılıkta bulunması</w:t>
      </w:r>
      <w:r w:rsidR="00C43006">
        <w:rPr>
          <w:rFonts w:ascii="Times New Roman" w:hAnsi="Times New Roman" w:cs="Times New Roman"/>
          <w:lang w:val="tr-TR"/>
        </w:rPr>
        <w:t>na yönelik</w:t>
      </w:r>
      <w:r w:rsidR="00C43006" w:rsidRPr="00C43006">
        <w:rPr>
          <w:rFonts w:ascii="Times New Roman" w:hAnsi="Times New Roman" w:cs="Times New Roman"/>
          <w:lang w:val="tr-TR"/>
        </w:rPr>
        <w:t xml:space="preserve"> </w:t>
      </w:r>
      <w:r w:rsidR="00C43006">
        <w:rPr>
          <w:rFonts w:ascii="Times New Roman" w:hAnsi="Times New Roman" w:cs="Times New Roman"/>
          <w:lang w:val="tr-TR"/>
        </w:rPr>
        <w:t>tüketici talebiyle</w:t>
      </w:r>
      <w:r w:rsidR="00C43006">
        <w:rPr>
          <w:rFonts w:ascii="Times New Roman" w:hAnsi="Times New Roman" w:cs="Times New Roman"/>
          <w:lang w:val="tr-TR"/>
        </w:rPr>
        <w:t>,</w:t>
      </w:r>
      <w:r w:rsidR="00C43006">
        <w:rPr>
          <w:rFonts w:ascii="Times New Roman" w:hAnsi="Times New Roman" w:cs="Times New Roman"/>
          <w:lang w:val="tr-TR"/>
        </w:rPr>
        <w:t xml:space="preserve"> gerekse aynı Planda artan ithalatın önüne geçmek için ithal ürünlerine getirileceği belirtilen ithalat </w:t>
      </w:r>
      <w:proofErr w:type="gramStart"/>
      <w:r w:rsidR="00C43006">
        <w:rPr>
          <w:rFonts w:ascii="Times New Roman" w:hAnsi="Times New Roman" w:cs="Times New Roman"/>
          <w:lang w:val="tr-TR"/>
        </w:rPr>
        <w:t>kriterler</w:t>
      </w:r>
      <w:r w:rsidR="00834AFD">
        <w:rPr>
          <w:rFonts w:ascii="Times New Roman" w:hAnsi="Times New Roman" w:cs="Times New Roman"/>
          <w:lang w:val="tr-TR"/>
        </w:rPr>
        <w:t>iyle</w:t>
      </w:r>
      <w:proofErr w:type="gramEnd"/>
      <w:r w:rsidR="00834AFD">
        <w:rPr>
          <w:rFonts w:ascii="Times New Roman" w:hAnsi="Times New Roman" w:cs="Times New Roman"/>
          <w:lang w:val="tr-TR"/>
        </w:rPr>
        <w:t xml:space="preserve"> örtüşmesi</w:t>
      </w:r>
      <w:r w:rsidR="00C43006">
        <w:rPr>
          <w:rFonts w:ascii="Times New Roman" w:hAnsi="Times New Roman" w:cs="Times New Roman"/>
          <w:lang w:val="tr-TR"/>
        </w:rPr>
        <w:t xml:space="preserve"> </w:t>
      </w:r>
      <w:r w:rsidR="00834AFD">
        <w:rPr>
          <w:rFonts w:ascii="Times New Roman" w:hAnsi="Times New Roman" w:cs="Times New Roman"/>
          <w:lang w:val="tr-TR"/>
        </w:rPr>
        <w:t>anlamında</w:t>
      </w:r>
      <w:r w:rsidR="00CA4E00">
        <w:rPr>
          <w:rFonts w:ascii="Times New Roman" w:hAnsi="Times New Roman" w:cs="Times New Roman"/>
          <w:lang w:val="tr-TR"/>
        </w:rPr>
        <w:t xml:space="preserve"> ihracatımızı olumlu yönde etkileyeceği değerlendirilmektedir. </w:t>
      </w:r>
    </w:p>
    <w:p w:rsidR="00CA4E00" w:rsidRDefault="00CA4E00" w:rsidP="00CA4E00">
      <w:pPr>
        <w:ind w:firstLine="851"/>
        <w:jc w:val="both"/>
        <w:rPr>
          <w:rFonts w:ascii="Times New Roman" w:hAnsi="Times New Roman" w:cs="Times New Roman"/>
          <w:lang w:val="tr-TR"/>
        </w:rPr>
      </w:pPr>
      <w:r>
        <w:rPr>
          <w:rFonts w:ascii="Times New Roman" w:hAnsi="Times New Roman" w:cs="Times New Roman"/>
          <w:lang w:val="tr-TR"/>
        </w:rPr>
        <w:t xml:space="preserve">Üretim kalitesinin </w:t>
      </w:r>
      <w:proofErr w:type="spellStart"/>
      <w:r>
        <w:rPr>
          <w:rFonts w:ascii="Times New Roman" w:hAnsi="Times New Roman" w:cs="Times New Roman"/>
          <w:lang w:val="tr-TR"/>
        </w:rPr>
        <w:t>yanısıra</w:t>
      </w:r>
      <w:proofErr w:type="spellEnd"/>
      <w:r>
        <w:rPr>
          <w:rFonts w:ascii="Times New Roman" w:hAnsi="Times New Roman" w:cs="Times New Roman"/>
          <w:lang w:val="tr-TR"/>
        </w:rPr>
        <w:t xml:space="preserve">, yine Master Planda özellikle mobilya sektörü açısından ürünlerin Afrika tasarımı olmasının üzerinde önemle durulduğu ve bunun için hedefler koyulduğu, bu hedefleri gerçekleştirmek için </w:t>
      </w:r>
      <w:proofErr w:type="spellStart"/>
      <w:r>
        <w:rPr>
          <w:rFonts w:ascii="Times New Roman" w:hAnsi="Times New Roman" w:cs="Times New Roman"/>
          <w:lang w:val="tr-TR"/>
        </w:rPr>
        <w:t>Proudly</w:t>
      </w:r>
      <w:proofErr w:type="spellEnd"/>
      <w:r>
        <w:rPr>
          <w:rFonts w:ascii="Times New Roman" w:hAnsi="Times New Roman" w:cs="Times New Roman"/>
          <w:lang w:val="tr-TR"/>
        </w:rPr>
        <w:t xml:space="preserve"> SA ve </w:t>
      </w:r>
      <w:proofErr w:type="spellStart"/>
      <w:r>
        <w:rPr>
          <w:rFonts w:ascii="Times New Roman" w:hAnsi="Times New Roman" w:cs="Times New Roman"/>
          <w:lang w:val="tr-TR"/>
        </w:rPr>
        <w:t>Clout</w:t>
      </w:r>
      <w:proofErr w:type="spellEnd"/>
      <w:r>
        <w:rPr>
          <w:rFonts w:ascii="Times New Roman" w:hAnsi="Times New Roman" w:cs="Times New Roman"/>
          <w:lang w:val="tr-TR"/>
        </w:rPr>
        <w:t xml:space="preserve"> SA gibi sivil </w:t>
      </w:r>
      <w:proofErr w:type="gramStart"/>
      <w:r>
        <w:rPr>
          <w:rFonts w:ascii="Times New Roman" w:hAnsi="Times New Roman" w:cs="Times New Roman"/>
          <w:lang w:val="tr-TR"/>
        </w:rPr>
        <w:t>inisiyatiflerle</w:t>
      </w:r>
      <w:proofErr w:type="gramEnd"/>
      <w:r>
        <w:rPr>
          <w:rFonts w:ascii="Times New Roman" w:hAnsi="Times New Roman" w:cs="Times New Roman"/>
          <w:lang w:val="tr-TR"/>
        </w:rPr>
        <w:t xml:space="preserve"> kamu işbirlikleri sağlandığı görülmektedir. Bu açıdan söz konusu </w:t>
      </w:r>
      <w:proofErr w:type="gramStart"/>
      <w:r>
        <w:rPr>
          <w:rFonts w:ascii="Times New Roman" w:hAnsi="Times New Roman" w:cs="Times New Roman"/>
          <w:lang w:val="tr-TR"/>
        </w:rPr>
        <w:t>inisiyatiflerin</w:t>
      </w:r>
      <w:proofErr w:type="gramEnd"/>
      <w:r>
        <w:rPr>
          <w:rFonts w:ascii="Times New Roman" w:hAnsi="Times New Roman" w:cs="Times New Roman"/>
          <w:lang w:val="tr-TR"/>
        </w:rPr>
        <w:t xml:space="preserve"> paylaşımları izlenerek tasarımla ilgili fikir sahibi olunmasında, üretim kararlarının bu anlamda da tüketici talebini karşılayacak şekilde ele alınmasında fayda</w:t>
      </w:r>
      <w:r w:rsidR="00C2059C">
        <w:rPr>
          <w:rFonts w:ascii="Times New Roman" w:hAnsi="Times New Roman" w:cs="Times New Roman"/>
          <w:lang w:val="tr-TR"/>
        </w:rPr>
        <w:t xml:space="preserve"> olacağı değerlendirilmektedir.</w:t>
      </w:r>
    </w:p>
    <w:p w:rsidR="00C2059C" w:rsidRDefault="00CA4E00" w:rsidP="00CA4E00">
      <w:pPr>
        <w:ind w:firstLine="851"/>
        <w:jc w:val="both"/>
        <w:rPr>
          <w:rFonts w:ascii="Times New Roman" w:hAnsi="Times New Roman" w:cs="Times New Roman"/>
          <w:lang w:val="tr-TR"/>
        </w:rPr>
      </w:pPr>
      <w:r>
        <w:rPr>
          <w:rFonts w:ascii="Times New Roman" w:hAnsi="Times New Roman" w:cs="Times New Roman"/>
          <w:lang w:val="tr-TR"/>
        </w:rPr>
        <w:t xml:space="preserve">Tüketici talebini doğru şekilde analiz ederek üretim yapmanın dışında ihracatçılarımız açısından dikkat edilmesinde fayda bulunan bir diğer </w:t>
      </w:r>
      <w:r w:rsidR="00834AFD">
        <w:rPr>
          <w:rFonts w:ascii="Times New Roman" w:hAnsi="Times New Roman" w:cs="Times New Roman"/>
          <w:lang w:val="tr-TR"/>
        </w:rPr>
        <w:t xml:space="preserve">önemli </w:t>
      </w:r>
      <w:r>
        <w:rPr>
          <w:rFonts w:ascii="Times New Roman" w:hAnsi="Times New Roman" w:cs="Times New Roman"/>
          <w:lang w:val="tr-TR"/>
        </w:rPr>
        <w:t>konu, mobilya sektöründe ülkenin güçlü</w:t>
      </w:r>
      <w:r w:rsidR="00834AFD">
        <w:rPr>
          <w:rFonts w:ascii="Times New Roman" w:hAnsi="Times New Roman" w:cs="Times New Roman"/>
          <w:lang w:val="tr-TR"/>
        </w:rPr>
        <w:t xml:space="preserve"> ve zayıf bulunduğu </w:t>
      </w:r>
      <w:proofErr w:type="spellStart"/>
      <w:r w:rsidR="00834AFD">
        <w:rPr>
          <w:rFonts w:ascii="Times New Roman" w:hAnsi="Times New Roman" w:cs="Times New Roman"/>
          <w:lang w:val="tr-TR"/>
        </w:rPr>
        <w:t>segmentleri</w:t>
      </w:r>
      <w:proofErr w:type="spellEnd"/>
      <w:r w:rsidR="00834AFD">
        <w:rPr>
          <w:rFonts w:ascii="Times New Roman" w:hAnsi="Times New Roman" w:cs="Times New Roman"/>
          <w:lang w:val="tr-TR"/>
        </w:rPr>
        <w:t xml:space="preserve"> güncel olarak</w:t>
      </w:r>
      <w:bookmarkStart w:id="0" w:name="_GoBack"/>
      <w:bookmarkEnd w:id="0"/>
      <w:r w:rsidR="00834AFD">
        <w:rPr>
          <w:rFonts w:ascii="Times New Roman" w:hAnsi="Times New Roman" w:cs="Times New Roman"/>
          <w:lang w:val="tr-TR"/>
        </w:rPr>
        <w:t xml:space="preserve"> takip etmeleri</w:t>
      </w:r>
      <w:r>
        <w:rPr>
          <w:rFonts w:ascii="Times New Roman" w:hAnsi="Times New Roman" w:cs="Times New Roman"/>
          <w:lang w:val="tr-TR"/>
        </w:rPr>
        <w:t xml:space="preserve"> olacaktır. </w:t>
      </w:r>
      <w:r w:rsidR="00C2059C">
        <w:rPr>
          <w:rFonts w:ascii="Times New Roman" w:hAnsi="Times New Roman" w:cs="Times New Roman"/>
          <w:lang w:val="tr-TR"/>
        </w:rPr>
        <w:t xml:space="preserve">Yukarıda yer verilen istatistiklerden ve ülkenin resmi kuruluşları tarafından hazırlanan Master Plan ve raporlardan hareketle, ihracatın </w:t>
      </w:r>
      <w:proofErr w:type="spellStart"/>
      <w:r w:rsidR="00C2059C">
        <w:rPr>
          <w:rFonts w:ascii="Times New Roman" w:hAnsi="Times New Roman" w:cs="Times New Roman"/>
          <w:lang w:val="tr-TR"/>
        </w:rPr>
        <w:t>sektörel</w:t>
      </w:r>
      <w:proofErr w:type="spellEnd"/>
      <w:r w:rsidR="00C2059C">
        <w:rPr>
          <w:rFonts w:ascii="Times New Roman" w:hAnsi="Times New Roman" w:cs="Times New Roman"/>
          <w:lang w:val="tr-TR"/>
        </w:rPr>
        <w:t xml:space="preserve"> olarak zayıf bulunan ya da güçlendirilmesi için çalışılacağı belirtilen (örneğin tıbbi mobilya üretimi, döşemelik kumaş üretimi </w:t>
      </w:r>
      <w:proofErr w:type="spellStart"/>
      <w:r w:rsidR="00C2059C">
        <w:rPr>
          <w:rFonts w:ascii="Times New Roman" w:hAnsi="Times New Roman" w:cs="Times New Roman"/>
          <w:lang w:val="tr-TR"/>
        </w:rPr>
        <w:t>vb</w:t>
      </w:r>
      <w:proofErr w:type="spellEnd"/>
      <w:r w:rsidR="00C2059C">
        <w:rPr>
          <w:rFonts w:ascii="Times New Roman" w:hAnsi="Times New Roman" w:cs="Times New Roman"/>
          <w:lang w:val="tr-TR"/>
        </w:rPr>
        <w:t xml:space="preserve">) </w:t>
      </w:r>
      <w:proofErr w:type="spellStart"/>
      <w:r w:rsidR="00C2059C">
        <w:rPr>
          <w:rFonts w:ascii="Times New Roman" w:hAnsi="Times New Roman" w:cs="Times New Roman"/>
          <w:lang w:val="tr-TR"/>
        </w:rPr>
        <w:t>segmentlerde</w:t>
      </w:r>
      <w:proofErr w:type="spellEnd"/>
      <w:r w:rsidR="00C2059C">
        <w:rPr>
          <w:rFonts w:ascii="Times New Roman" w:hAnsi="Times New Roman" w:cs="Times New Roman"/>
          <w:lang w:val="tr-TR"/>
        </w:rPr>
        <w:t xml:space="preserve"> yoğunlaştırılması ihracatçılarımız için faydalı olacaktır.</w:t>
      </w:r>
    </w:p>
    <w:p w:rsidR="00A4503D" w:rsidRDefault="00C2059C" w:rsidP="00A4503D">
      <w:pPr>
        <w:ind w:left="360"/>
        <w:rPr>
          <w:rFonts w:ascii="Times New Roman" w:hAnsi="Times New Roman" w:cs="Times New Roman"/>
          <w:b/>
          <w:lang w:val="tr-TR"/>
        </w:rPr>
      </w:pPr>
      <w:r>
        <w:rPr>
          <w:rFonts w:ascii="Times New Roman" w:hAnsi="Times New Roman" w:cs="Times New Roman"/>
          <w:b/>
          <w:lang w:val="tr-TR"/>
        </w:rPr>
        <w:t>6</w:t>
      </w:r>
      <w:r w:rsidR="00A4503D">
        <w:rPr>
          <w:rFonts w:ascii="Times New Roman" w:hAnsi="Times New Roman" w:cs="Times New Roman"/>
          <w:b/>
          <w:lang w:val="tr-TR"/>
        </w:rPr>
        <w:t>. Belirtilmesinde Fayda Görülen Diğer Hususlar</w:t>
      </w:r>
    </w:p>
    <w:p w:rsidR="00C2059C" w:rsidRPr="009F06F9" w:rsidRDefault="00C2059C" w:rsidP="00C2059C">
      <w:pPr>
        <w:ind w:firstLine="851"/>
        <w:jc w:val="both"/>
        <w:rPr>
          <w:rFonts w:ascii="Times New Roman" w:hAnsi="Times New Roman" w:cs="Times New Roman"/>
          <w:lang w:val="tr-TR"/>
        </w:rPr>
      </w:pPr>
      <w:proofErr w:type="spellStart"/>
      <w:r>
        <w:rPr>
          <w:rFonts w:ascii="Times New Roman" w:hAnsi="Times New Roman" w:cs="Times New Roman"/>
          <w:lang w:val="tr-TR"/>
        </w:rPr>
        <w:t>GAC’da</w:t>
      </w:r>
      <w:proofErr w:type="spellEnd"/>
      <w:r>
        <w:rPr>
          <w:rFonts w:ascii="Times New Roman" w:hAnsi="Times New Roman" w:cs="Times New Roman"/>
          <w:lang w:val="tr-TR"/>
        </w:rPr>
        <w:t xml:space="preserve"> mobilya sektörü, yakın bir geçmişe kadar başarılı olduğuna işaret edilen ve ülkedeki ciddi işsizlik probleminin çözümüne katkı sağlayacağı, ülkenin doğal kaynaklarının değerlendirilmesinde ve</w:t>
      </w:r>
      <w:r w:rsidR="00B76886">
        <w:rPr>
          <w:rFonts w:ascii="Times New Roman" w:hAnsi="Times New Roman" w:cs="Times New Roman"/>
          <w:lang w:val="tr-TR"/>
        </w:rPr>
        <w:t xml:space="preserve"> yerel </w:t>
      </w:r>
      <w:r>
        <w:rPr>
          <w:rFonts w:ascii="Times New Roman" w:hAnsi="Times New Roman" w:cs="Times New Roman"/>
          <w:lang w:val="tr-TR"/>
        </w:rPr>
        <w:t>tasarım anlamında</w:t>
      </w:r>
      <w:r w:rsidR="00B76886">
        <w:rPr>
          <w:rFonts w:ascii="Times New Roman" w:hAnsi="Times New Roman" w:cs="Times New Roman"/>
          <w:lang w:val="tr-TR"/>
        </w:rPr>
        <w:t xml:space="preserve"> </w:t>
      </w:r>
      <w:r>
        <w:rPr>
          <w:rFonts w:ascii="Times New Roman" w:hAnsi="Times New Roman" w:cs="Times New Roman"/>
          <w:lang w:val="tr-TR"/>
        </w:rPr>
        <w:t xml:space="preserve">ülkenin dış pazarlarda temsil edilmesinde öncülük edebileceği vurgulanan ve son beş yıldır kamu destekleriyle ve kamu-özel işbirlikleriyle güçlendirilmeye çalışılan sektörlerden biridir. </w:t>
      </w:r>
      <w:r w:rsidR="00B76886">
        <w:rPr>
          <w:rFonts w:ascii="Times New Roman" w:hAnsi="Times New Roman" w:cs="Times New Roman"/>
          <w:lang w:val="tr-TR"/>
        </w:rPr>
        <w:t xml:space="preserve">Bu destekler arasında üretim finansmanı desteği, </w:t>
      </w:r>
      <w:proofErr w:type="spellStart"/>
      <w:r w:rsidR="00B76886">
        <w:rPr>
          <w:rFonts w:ascii="Times New Roman" w:hAnsi="Times New Roman" w:cs="Times New Roman"/>
          <w:lang w:val="tr-TR"/>
        </w:rPr>
        <w:t>sektörel</w:t>
      </w:r>
      <w:proofErr w:type="spellEnd"/>
      <w:r w:rsidR="00B76886">
        <w:rPr>
          <w:rFonts w:ascii="Times New Roman" w:hAnsi="Times New Roman" w:cs="Times New Roman"/>
          <w:lang w:val="tr-TR"/>
        </w:rPr>
        <w:t xml:space="preserve"> beceri gelişimi ve eğitim desteği, küçük ve orta ölçekteki firmaların desteklenmesi gibi destekler bulunmaktadır. Bu destekler ile yerel ölçekte üretim yapan firmaların üretiminin ve istihdamın arttırılması, yerel hammadde kullanımının (ahşap, deri </w:t>
      </w:r>
      <w:proofErr w:type="spellStart"/>
      <w:r w:rsidR="00B76886">
        <w:rPr>
          <w:rFonts w:ascii="Times New Roman" w:hAnsi="Times New Roman" w:cs="Times New Roman"/>
          <w:lang w:val="tr-TR"/>
        </w:rPr>
        <w:t>vb</w:t>
      </w:r>
      <w:proofErr w:type="spellEnd"/>
      <w:r w:rsidR="00B76886">
        <w:rPr>
          <w:rFonts w:ascii="Times New Roman" w:hAnsi="Times New Roman" w:cs="Times New Roman"/>
          <w:lang w:val="tr-TR"/>
        </w:rPr>
        <w:t xml:space="preserve">) teşvik edilmesi gibi amaçlara ulaşılması hedeflenmektedir. Bu anlamda, ülkemiz üreticileri tarafından ihracatın </w:t>
      </w:r>
      <w:r w:rsidR="00B76886">
        <w:rPr>
          <w:rFonts w:ascii="Times New Roman" w:hAnsi="Times New Roman" w:cs="Times New Roman"/>
          <w:lang w:val="tr-TR"/>
        </w:rPr>
        <w:lastRenderedPageBreak/>
        <w:t xml:space="preserve">arttırılmasının </w:t>
      </w:r>
      <w:proofErr w:type="spellStart"/>
      <w:r w:rsidR="00B76886">
        <w:rPr>
          <w:rFonts w:ascii="Times New Roman" w:hAnsi="Times New Roman" w:cs="Times New Roman"/>
          <w:lang w:val="tr-TR"/>
        </w:rPr>
        <w:t>yanısıra</w:t>
      </w:r>
      <w:proofErr w:type="spellEnd"/>
      <w:r w:rsidR="00B76886">
        <w:rPr>
          <w:rFonts w:ascii="Times New Roman" w:hAnsi="Times New Roman" w:cs="Times New Roman"/>
          <w:lang w:val="tr-TR"/>
        </w:rPr>
        <w:t xml:space="preserve">, doğrudan yatırım imkânlarının da araştırılmasında fayda olabileceği değerlendirilmektedir. </w:t>
      </w:r>
    </w:p>
    <w:p w:rsidR="00C2059C" w:rsidRDefault="00C2059C" w:rsidP="00A4503D">
      <w:pPr>
        <w:ind w:left="360"/>
        <w:rPr>
          <w:rFonts w:ascii="Times New Roman" w:hAnsi="Times New Roman" w:cs="Times New Roman"/>
          <w:b/>
          <w:lang w:val="tr-TR"/>
        </w:rPr>
      </w:pPr>
    </w:p>
    <w:p w:rsidR="00A4503D" w:rsidRDefault="00B76886" w:rsidP="00C43006">
      <w:pPr>
        <w:rPr>
          <w:rFonts w:ascii="Times New Roman" w:hAnsi="Times New Roman" w:cs="Times New Roman"/>
          <w:b/>
          <w:lang w:val="tr-TR"/>
        </w:rPr>
      </w:pPr>
      <w:r>
        <w:rPr>
          <w:rFonts w:ascii="Times New Roman" w:hAnsi="Times New Roman" w:cs="Times New Roman"/>
          <w:b/>
          <w:lang w:val="tr-TR"/>
        </w:rPr>
        <w:t>7</w:t>
      </w:r>
      <w:r w:rsidR="00A4503D">
        <w:rPr>
          <w:rFonts w:ascii="Times New Roman" w:hAnsi="Times New Roman" w:cs="Times New Roman"/>
          <w:b/>
          <w:lang w:val="tr-TR"/>
        </w:rPr>
        <w:t>. Yararlı Adresler</w:t>
      </w:r>
    </w:p>
    <w:p w:rsidR="00B76886" w:rsidRPr="00C43006" w:rsidRDefault="00B76886" w:rsidP="00C43006">
      <w:pPr>
        <w:rPr>
          <w:rFonts w:ascii="Times New Roman" w:hAnsi="Times New Roman" w:cs="Times New Roman"/>
          <w:lang w:val="tr-TR"/>
        </w:rPr>
      </w:pPr>
      <w:r w:rsidRPr="00C43006">
        <w:rPr>
          <w:rFonts w:ascii="Times New Roman" w:hAnsi="Times New Roman" w:cs="Times New Roman"/>
          <w:lang w:val="tr-TR"/>
        </w:rPr>
        <w:t>https://www.thedtic.gov.za/ (GAC Ticaret, Sanayi ve Rekabetçilik Bakanlığı)</w:t>
      </w:r>
    </w:p>
    <w:p w:rsidR="00B76886" w:rsidRPr="00C43006" w:rsidRDefault="00B76886" w:rsidP="00C43006">
      <w:pPr>
        <w:rPr>
          <w:rFonts w:ascii="Times New Roman" w:hAnsi="Times New Roman" w:cs="Times New Roman"/>
          <w:lang w:val="tr-TR"/>
        </w:rPr>
      </w:pPr>
      <w:r w:rsidRPr="00C43006">
        <w:rPr>
          <w:rFonts w:ascii="Times New Roman" w:hAnsi="Times New Roman" w:cs="Times New Roman"/>
          <w:lang w:val="tr-TR"/>
        </w:rPr>
        <w:t>https://www.sars.gov.za/ (GAC Gelir İdaresi)</w:t>
      </w:r>
    </w:p>
    <w:p w:rsidR="00151BAA" w:rsidRPr="00C43006" w:rsidRDefault="00151BAA" w:rsidP="00C43006">
      <w:pPr>
        <w:rPr>
          <w:rFonts w:ascii="Times New Roman" w:hAnsi="Times New Roman" w:cs="Times New Roman"/>
          <w:lang w:val="tr-TR"/>
        </w:rPr>
      </w:pPr>
      <w:r w:rsidRPr="00C43006">
        <w:rPr>
          <w:rFonts w:ascii="Times New Roman" w:hAnsi="Times New Roman" w:cs="Times New Roman"/>
          <w:lang w:val="tr-TR"/>
        </w:rPr>
        <w:t>https://www.statssa.gov.za/ (GAC İstatistik Kurumu)</w:t>
      </w:r>
    </w:p>
    <w:p w:rsidR="00B76886" w:rsidRPr="00C43006" w:rsidRDefault="00B76886" w:rsidP="00C43006">
      <w:pPr>
        <w:rPr>
          <w:rFonts w:ascii="Times New Roman" w:hAnsi="Times New Roman" w:cs="Times New Roman"/>
          <w:lang w:val="tr-TR"/>
        </w:rPr>
      </w:pPr>
      <w:r w:rsidRPr="00C43006">
        <w:rPr>
          <w:rFonts w:ascii="Times New Roman" w:hAnsi="Times New Roman" w:cs="Times New Roman"/>
          <w:lang w:val="tr-TR"/>
        </w:rPr>
        <w:t>https://www.idc.co.za/</w:t>
      </w:r>
      <w:r w:rsidR="001134C9" w:rsidRPr="00C43006">
        <w:rPr>
          <w:rFonts w:ascii="Times New Roman" w:hAnsi="Times New Roman" w:cs="Times New Roman"/>
          <w:lang w:val="tr-TR"/>
        </w:rPr>
        <w:t xml:space="preserve"> (</w:t>
      </w:r>
      <w:r w:rsidRPr="00C43006">
        <w:rPr>
          <w:rFonts w:ascii="Times New Roman" w:hAnsi="Times New Roman" w:cs="Times New Roman"/>
          <w:lang w:val="tr-TR"/>
        </w:rPr>
        <w:t>Endüstriyel Kalkınma Kurumu)</w:t>
      </w:r>
    </w:p>
    <w:p w:rsidR="001134C9" w:rsidRPr="00C43006" w:rsidRDefault="001134C9" w:rsidP="00C43006">
      <w:pPr>
        <w:rPr>
          <w:rFonts w:ascii="Times New Roman" w:hAnsi="Times New Roman" w:cs="Times New Roman"/>
          <w:lang w:val="tr-TR"/>
        </w:rPr>
      </w:pPr>
      <w:r w:rsidRPr="00C43006">
        <w:rPr>
          <w:rFonts w:ascii="Times New Roman" w:hAnsi="Times New Roman" w:cs="Times New Roman"/>
          <w:lang w:val="tr-TR"/>
        </w:rPr>
        <w:t>https://</w:t>
      </w:r>
      <w:proofErr w:type="gramStart"/>
      <w:r w:rsidRPr="00C43006">
        <w:rPr>
          <w:rFonts w:ascii="Times New Roman" w:hAnsi="Times New Roman" w:cs="Times New Roman"/>
          <w:lang w:val="tr-TR"/>
        </w:rPr>
        <w:t>southafricanfurnitureinitiative.co</w:t>
      </w:r>
      <w:proofErr w:type="gramEnd"/>
      <w:r w:rsidRPr="00C43006">
        <w:rPr>
          <w:rFonts w:ascii="Times New Roman" w:hAnsi="Times New Roman" w:cs="Times New Roman"/>
          <w:lang w:val="tr-TR"/>
        </w:rPr>
        <w:t>.za/ (Mobilya Enstitüsü)</w:t>
      </w:r>
    </w:p>
    <w:p w:rsidR="001134C9" w:rsidRPr="00C43006" w:rsidRDefault="001134C9" w:rsidP="00C43006">
      <w:pPr>
        <w:rPr>
          <w:rFonts w:ascii="Times New Roman" w:hAnsi="Times New Roman" w:cs="Times New Roman"/>
          <w:lang w:val="tr-TR"/>
        </w:rPr>
      </w:pPr>
      <w:r w:rsidRPr="00C43006">
        <w:rPr>
          <w:rFonts w:ascii="Times New Roman" w:hAnsi="Times New Roman" w:cs="Times New Roman"/>
          <w:lang w:val="tr-TR"/>
        </w:rPr>
        <w:t>https://www.fpmseta.org.za/ (</w:t>
      </w:r>
      <w:r w:rsidR="00151BAA" w:rsidRPr="00C43006">
        <w:rPr>
          <w:rFonts w:ascii="Times New Roman" w:hAnsi="Times New Roman" w:cs="Times New Roman"/>
          <w:lang w:val="tr-TR"/>
        </w:rPr>
        <w:t>Fiber İşleme ve İmalat Sektörü Eğitim Enstitüsü)</w:t>
      </w:r>
    </w:p>
    <w:p w:rsidR="00151BAA" w:rsidRPr="00C43006" w:rsidRDefault="00151BAA" w:rsidP="00C43006">
      <w:pPr>
        <w:rPr>
          <w:rFonts w:ascii="Times New Roman" w:hAnsi="Times New Roman" w:cs="Times New Roman"/>
          <w:lang w:val="tr-TR"/>
        </w:rPr>
      </w:pPr>
      <w:r w:rsidRPr="00C43006">
        <w:rPr>
          <w:rFonts w:ascii="Times New Roman" w:hAnsi="Times New Roman" w:cs="Times New Roman"/>
          <w:lang w:val="tr-TR"/>
        </w:rPr>
        <w:t>https://</w:t>
      </w:r>
      <w:proofErr w:type="gramStart"/>
      <w:r w:rsidRPr="00C43006">
        <w:rPr>
          <w:rFonts w:ascii="Times New Roman" w:hAnsi="Times New Roman" w:cs="Times New Roman"/>
          <w:lang w:val="tr-TR"/>
        </w:rPr>
        <w:t>proudlysa.co</w:t>
      </w:r>
      <w:proofErr w:type="gramEnd"/>
      <w:r w:rsidRPr="00C43006">
        <w:rPr>
          <w:rFonts w:ascii="Times New Roman" w:hAnsi="Times New Roman" w:cs="Times New Roman"/>
          <w:lang w:val="tr-TR"/>
        </w:rPr>
        <w:t>.za/ (</w:t>
      </w:r>
      <w:proofErr w:type="spellStart"/>
      <w:r w:rsidRPr="00C43006">
        <w:rPr>
          <w:rFonts w:ascii="Times New Roman" w:hAnsi="Times New Roman" w:cs="Times New Roman"/>
          <w:lang w:val="tr-TR"/>
        </w:rPr>
        <w:t>Proudly</w:t>
      </w:r>
      <w:proofErr w:type="spellEnd"/>
      <w:r w:rsidRPr="00C43006">
        <w:rPr>
          <w:rFonts w:ascii="Times New Roman" w:hAnsi="Times New Roman" w:cs="Times New Roman"/>
          <w:lang w:val="tr-TR"/>
        </w:rPr>
        <w:t xml:space="preserve"> SA, Raporda kuruluşa ilişkin bilgiye yer verilmiştir)</w:t>
      </w:r>
    </w:p>
    <w:p w:rsidR="00151BAA" w:rsidRPr="00C43006" w:rsidRDefault="00151BAA" w:rsidP="00C43006">
      <w:pPr>
        <w:rPr>
          <w:rFonts w:ascii="Times New Roman" w:hAnsi="Times New Roman" w:cs="Times New Roman"/>
          <w:lang w:val="tr-TR"/>
        </w:rPr>
      </w:pPr>
      <w:r w:rsidRPr="00C43006">
        <w:rPr>
          <w:rFonts w:ascii="Times New Roman" w:hAnsi="Times New Roman" w:cs="Times New Roman"/>
          <w:lang w:val="tr-TR"/>
        </w:rPr>
        <w:t>https://clout-</w:t>
      </w:r>
      <w:proofErr w:type="gramStart"/>
      <w:r w:rsidRPr="00C43006">
        <w:rPr>
          <w:rFonts w:ascii="Times New Roman" w:hAnsi="Times New Roman" w:cs="Times New Roman"/>
          <w:lang w:val="tr-TR"/>
        </w:rPr>
        <w:t>sadesign.co</w:t>
      </w:r>
      <w:proofErr w:type="gramEnd"/>
      <w:r w:rsidRPr="00C43006">
        <w:rPr>
          <w:rFonts w:ascii="Times New Roman" w:hAnsi="Times New Roman" w:cs="Times New Roman"/>
          <w:lang w:val="tr-TR"/>
        </w:rPr>
        <w:t>.za/ (</w:t>
      </w:r>
      <w:proofErr w:type="spellStart"/>
      <w:r w:rsidRPr="00C43006">
        <w:rPr>
          <w:rFonts w:ascii="Times New Roman" w:hAnsi="Times New Roman" w:cs="Times New Roman"/>
          <w:lang w:val="tr-TR"/>
        </w:rPr>
        <w:t>Clout</w:t>
      </w:r>
      <w:proofErr w:type="spellEnd"/>
      <w:r w:rsidRPr="00C43006">
        <w:rPr>
          <w:rFonts w:ascii="Times New Roman" w:hAnsi="Times New Roman" w:cs="Times New Roman"/>
          <w:lang w:val="tr-TR"/>
        </w:rPr>
        <w:t xml:space="preserve"> SA, </w:t>
      </w:r>
      <w:r w:rsidRPr="00C43006">
        <w:rPr>
          <w:rFonts w:ascii="Times New Roman" w:hAnsi="Times New Roman" w:cs="Times New Roman"/>
          <w:lang w:val="tr-TR"/>
        </w:rPr>
        <w:t>Raporda kuruluşa ilişkin bilgiye yer verilmiştir</w:t>
      </w:r>
      <w:r w:rsidRPr="00C43006">
        <w:rPr>
          <w:rFonts w:ascii="Times New Roman" w:hAnsi="Times New Roman" w:cs="Times New Roman"/>
          <w:lang w:val="tr-TR"/>
        </w:rPr>
        <w:t>)</w:t>
      </w:r>
    </w:p>
    <w:p w:rsidR="00151BAA" w:rsidRPr="00C43006" w:rsidRDefault="00151BAA" w:rsidP="00C43006">
      <w:pPr>
        <w:rPr>
          <w:rFonts w:ascii="Times New Roman" w:hAnsi="Times New Roman" w:cs="Times New Roman"/>
          <w:lang w:val="tr-TR"/>
        </w:rPr>
      </w:pPr>
      <w:r w:rsidRPr="00C43006">
        <w:rPr>
          <w:rFonts w:ascii="Times New Roman" w:hAnsi="Times New Roman" w:cs="Times New Roman"/>
          <w:lang w:val="tr-TR"/>
        </w:rPr>
        <w:t>https://</w:t>
      </w:r>
      <w:proofErr w:type="gramStart"/>
      <w:r w:rsidRPr="00C43006">
        <w:rPr>
          <w:rFonts w:ascii="Times New Roman" w:hAnsi="Times New Roman" w:cs="Times New Roman"/>
          <w:lang w:val="tr-TR"/>
        </w:rPr>
        <w:t>furntech.org.za</w:t>
      </w:r>
      <w:proofErr w:type="gramEnd"/>
      <w:r w:rsidRPr="00C43006">
        <w:rPr>
          <w:rFonts w:ascii="Times New Roman" w:hAnsi="Times New Roman" w:cs="Times New Roman"/>
          <w:lang w:val="tr-TR"/>
        </w:rPr>
        <w:t>/ (</w:t>
      </w:r>
      <w:proofErr w:type="spellStart"/>
      <w:r w:rsidRPr="00C43006">
        <w:rPr>
          <w:rFonts w:ascii="Times New Roman" w:hAnsi="Times New Roman" w:cs="Times New Roman"/>
          <w:lang w:val="tr-TR"/>
        </w:rPr>
        <w:t>Furntech</w:t>
      </w:r>
      <w:proofErr w:type="spellEnd"/>
      <w:r w:rsidRPr="00C43006">
        <w:rPr>
          <w:rFonts w:ascii="Times New Roman" w:hAnsi="Times New Roman" w:cs="Times New Roman"/>
          <w:lang w:val="tr-TR"/>
        </w:rPr>
        <w:t xml:space="preserve">, </w:t>
      </w:r>
      <w:r w:rsidRPr="00C43006">
        <w:rPr>
          <w:rFonts w:ascii="Times New Roman" w:hAnsi="Times New Roman" w:cs="Times New Roman"/>
          <w:lang w:val="tr-TR"/>
        </w:rPr>
        <w:t>Raporda kuruluşa ilişkin bilgiye yer verilmiştir</w:t>
      </w:r>
      <w:r w:rsidRPr="00C43006">
        <w:rPr>
          <w:rFonts w:ascii="Times New Roman" w:hAnsi="Times New Roman" w:cs="Times New Roman"/>
          <w:lang w:val="tr-TR"/>
        </w:rPr>
        <w:t>)</w:t>
      </w:r>
    </w:p>
    <w:p w:rsidR="00151BAA" w:rsidRPr="00C43006" w:rsidRDefault="003B0644" w:rsidP="00C43006">
      <w:pPr>
        <w:rPr>
          <w:rFonts w:ascii="Times New Roman" w:hAnsi="Times New Roman" w:cs="Times New Roman"/>
          <w:lang w:val="tr-TR"/>
        </w:rPr>
      </w:pPr>
      <w:r w:rsidRPr="00C43006">
        <w:rPr>
          <w:rFonts w:ascii="Times New Roman" w:hAnsi="Times New Roman" w:cs="Times New Roman"/>
          <w:lang w:val="tr-TR"/>
        </w:rPr>
        <w:t xml:space="preserve">https://www.trademap.org/Index.aspx </w:t>
      </w:r>
    </w:p>
    <w:p w:rsidR="005B5A80" w:rsidRDefault="00C2059C" w:rsidP="00C43006">
      <w:pPr>
        <w:rPr>
          <w:rFonts w:ascii="Times New Roman" w:hAnsi="Times New Roman" w:cs="Times New Roman"/>
          <w:b/>
          <w:lang w:val="tr-TR"/>
        </w:rPr>
      </w:pPr>
      <w:r>
        <w:rPr>
          <w:rFonts w:ascii="Times New Roman" w:hAnsi="Times New Roman" w:cs="Times New Roman"/>
          <w:b/>
          <w:lang w:val="tr-TR"/>
        </w:rPr>
        <w:t>9</w:t>
      </w:r>
      <w:r w:rsidR="00A4503D">
        <w:rPr>
          <w:rFonts w:ascii="Times New Roman" w:hAnsi="Times New Roman" w:cs="Times New Roman"/>
          <w:b/>
          <w:lang w:val="tr-TR"/>
        </w:rPr>
        <w:t>. Kaynakça</w:t>
      </w:r>
    </w:p>
    <w:p w:rsidR="003B0644" w:rsidRPr="00C43006" w:rsidRDefault="00C43006" w:rsidP="00C43006">
      <w:pPr>
        <w:rPr>
          <w:rFonts w:ascii="Times New Roman" w:hAnsi="Times New Roman" w:cs="Times New Roman"/>
          <w:lang w:val="tr-TR"/>
        </w:rPr>
      </w:pPr>
      <w:r>
        <w:rPr>
          <w:rFonts w:ascii="Times New Roman" w:hAnsi="Times New Roman" w:cs="Times New Roman"/>
          <w:lang w:val="tr-TR"/>
        </w:rPr>
        <w:t xml:space="preserve">- </w:t>
      </w:r>
      <w:proofErr w:type="spellStart"/>
      <w:r w:rsidR="003B0644" w:rsidRPr="00C43006">
        <w:rPr>
          <w:rFonts w:ascii="Times New Roman" w:hAnsi="Times New Roman" w:cs="Times New Roman"/>
          <w:lang w:val="tr-TR"/>
        </w:rPr>
        <w:t>Statista</w:t>
      </w:r>
      <w:proofErr w:type="spellEnd"/>
      <w:r w:rsidR="003B0644" w:rsidRPr="00C43006">
        <w:rPr>
          <w:rFonts w:ascii="Times New Roman" w:hAnsi="Times New Roman" w:cs="Times New Roman"/>
          <w:lang w:val="tr-TR"/>
        </w:rPr>
        <w:t xml:space="preserve">, </w:t>
      </w:r>
      <w:proofErr w:type="spellStart"/>
      <w:r w:rsidR="003B0644" w:rsidRPr="00C43006">
        <w:rPr>
          <w:rFonts w:ascii="Times New Roman" w:hAnsi="Times New Roman" w:cs="Times New Roman"/>
          <w:lang w:val="tr-TR"/>
        </w:rPr>
        <w:t>Industries</w:t>
      </w:r>
      <w:proofErr w:type="spellEnd"/>
      <w:r w:rsidR="003B0644" w:rsidRPr="00C43006">
        <w:rPr>
          <w:rFonts w:ascii="Times New Roman" w:hAnsi="Times New Roman" w:cs="Times New Roman"/>
          <w:lang w:val="tr-TR"/>
        </w:rPr>
        <w:t xml:space="preserve"> &amp; </w:t>
      </w:r>
      <w:proofErr w:type="spellStart"/>
      <w:r w:rsidR="003B0644" w:rsidRPr="00C43006">
        <w:rPr>
          <w:rFonts w:ascii="Times New Roman" w:hAnsi="Times New Roman" w:cs="Times New Roman"/>
          <w:lang w:val="tr-TR"/>
        </w:rPr>
        <w:t>Markets</w:t>
      </w:r>
      <w:proofErr w:type="spellEnd"/>
      <w:r w:rsidR="003B0644" w:rsidRPr="00C43006">
        <w:rPr>
          <w:rFonts w:ascii="Times New Roman" w:hAnsi="Times New Roman" w:cs="Times New Roman"/>
          <w:lang w:val="tr-TR"/>
        </w:rPr>
        <w:t xml:space="preserve">, </w:t>
      </w:r>
      <w:proofErr w:type="spellStart"/>
      <w:r w:rsidR="003B0644" w:rsidRPr="00C43006">
        <w:rPr>
          <w:rFonts w:ascii="Times New Roman" w:hAnsi="Times New Roman" w:cs="Times New Roman"/>
          <w:lang w:val="tr-TR"/>
        </w:rPr>
        <w:t>Furniture</w:t>
      </w:r>
      <w:proofErr w:type="spellEnd"/>
      <w:r w:rsidR="003B0644" w:rsidRPr="00C43006">
        <w:rPr>
          <w:rFonts w:ascii="Times New Roman" w:hAnsi="Times New Roman" w:cs="Times New Roman"/>
          <w:lang w:val="tr-TR"/>
        </w:rPr>
        <w:t xml:space="preserve"> </w:t>
      </w:r>
      <w:proofErr w:type="spellStart"/>
      <w:r w:rsidR="003B0644" w:rsidRPr="00C43006">
        <w:rPr>
          <w:rFonts w:ascii="Times New Roman" w:hAnsi="Times New Roman" w:cs="Times New Roman"/>
          <w:lang w:val="tr-TR"/>
        </w:rPr>
        <w:t>Industry</w:t>
      </w:r>
      <w:proofErr w:type="spellEnd"/>
      <w:r w:rsidR="003B0644" w:rsidRPr="00C43006">
        <w:rPr>
          <w:rFonts w:ascii="Times New Roman" w:hAnsi="Times New Roman" w:cs="Times New Roman"/>
          <w:lang w:val="tr-TR"/>
        </w:rPr>
        <w:t xml:space="preserve"> </w:t>
      </w:r>
      <w:proofErr w:type="spellStart"/>
      <w:r w:rsidR="003B0644" w:rsidRPr="00C43006">
        <w:rPr>
          <w:rFonts w:ascii="Times New Roman" w:hAnsi="Times New Roman" w:cs="Times New Roman"/>
          <w:lang w:val="tr-TR"/>
        </w:rPr>
        <w:t>Worldwide</w:t>
      </w:r>
      <w:proofErr w:type="spellEnd"/>
      <w:r w:rsidR="003B0644" w:rsidRPr="00C43006">
        <w:rPr>
          <w:rFonts w:ascii="Times New Roman" w:hAnsi="Times New Roman" w:cs="Times New Roman"/>
          <w:lang w:val="tr-TR"/>
        </w:rPr>
        <w:t>; https://tproxy.ticaret.gov.tr:2113/study/58313/furniture-market-worldwide/.</w:t>
      </w:r>
    </w:p>
    <w:p w:rsidR="003B0644" w:rsidRPr="00C43006" w:rsidRDefault="00C43006" w:rsidP="00C43006">
      <w:pPr>
        <w:spacing w:after="0"/>
        <w:rPr>
          <w:rFonts w:ascii="Times New Roman" w:hAnsi="Times New Roman" w:cs="Times New Roman"/>
          <w:lang w:val="tr-TR"/>
        </w:rPr>
      </w:pPr>
      <w:r>
        <w:rPr>
          <w:rFonts w:ascii="Times New Roman" w:hAnsi="Times New Roman" w:cs="Times New Roman"/>
          <w:lang w:val="tr-TR"/>
        </w:rPr>
        <w:t xml:space="preserve">- </w:t>
      </w:r>
      <w:proofErr w:type="spellStart"/>
      <w:r w:rsidR="003B0644" w:rsidRPr="00C43006">
        <w:rPr>
          <w:rFonts w:ascii="Times New Roman" w:hAnsi="Times New Roman" w:cs="Times New Roman"/>
          <w:lang w:val="tr-TR"/>
        </w:rPr>
        <w:t>Masterplan</w:t>
      </w:r>
      <w:proofErr w:type="spellEnd"/>
      <w:r w:rsidR="003B0644" w:rsidRPr="00C43006">
        <w:rPr>
          <w:rFonts w:ascii="Times New Roman" w:hAnsi="Times New Roman" w:cs="Times New Roman"/>
          <w:lang w:val="tr-TR"/>
        </w:rPr>
        <w:t xml:space="preserve"> </w:t>
      </w:r>
      <w:proofErr w:type="spellStart"/>
      <w:r w:rsidR="003B0644" w:rsidRPr="00C43006">
        <w:rPr>
          <w:rFonts w:ascii="Times New Roman" w:hAnsi="Times New Roman" w:cs="Times New Roman"/>
          <w:lang w:val="tr-TR"/>
        </w:rPr>
        <w:t>for</w:t>
      </w:r>
      <w:proofErr w:type="spellEnd"/>
      <w:r w:rsidR="003B0644" w:rsidRPr="00C43006">
        <w:rPr>
          <w:rFonts w:ascii="Times New Roman" w:hAnsi="Times New Roman" w:cs="Times New Roman"/>
          <w:lang w:val="tr-TR"/>
        </w:rPr>
        <w:t xml:space="preserve"> </w:t>
      </w:r>
      <w:proofErr w:type="spellStart"/>
      <w:r w:rsidR="003B0644" w:rsidRPr="00C43006">
        <w:rPr>
          <w:rFonts w:ascii="Times New Roman" w:hAnsi="Times New Roman" w:cs="Times New Roman"/>
          <w:lang w:val="tr-TR"/>
        </w:rPr>
        <w:t>the</w:t>
      </w:r>
      <w:proofErr w:type="spellEnd"/>
      <w:r w:rsidR="003B0644" w:rsidRPr="00C43006">
        <w:rPr>
          <w:rFonts w:ascii="Times New Roman" w:hAnsi="Times New Roman" w:cs="Times New Roman"/>
          <w:lang w:val="tr-TR"/>
        </w:rPr>
        <w:t xml:space="preserve"> South </w:t>
      </w:r>
      <w:proofErr w:type="spellStart"/>
      <w:r w:rsidR="003B0644" w:rsidRPr="00C43006">
        <w:rPr>
          <w:rFonts w:ascii="Times New Roman" w:hAnsi="Times New Roman" w:cs="Times New Roman"/>
          <w:lang w:val="tr-TR"/>
        </w:rPr>
        <w:t>African</w:t>
      </w:r>
      <w:proofErr w:type="spellEnd"/>
      <w:r w:rsidR="003B0644" w:rsidRPr="00C43006">
        <w:rPr>
          <w:rFonts w:ascii="Times New Roman" w:hAnsi="Times New Roman" w:cs="Times New Roman"/>
          <w:lang w:val="tr-TR"/>
        </w:rPr>
        <w:t xml:space="preserve"> </w:t>
      </w:r>
      <w:proofErr w:type="spellStart"/>
      <w:r w:rsidR="003B0644" w:rsidRPr="00C43006">
        <w:rPr>
          <w:rFonts w:ascii="Times New Roman" w:hAnsi="Times New Roman" w:cs="Times New Roman"/>
          <w:lang w:val="tr-TR"/>
        </w:rPr>
        <w:t>Furniture</w:t>
      </w:r>
      <w:proofErr w:type="spellEnd"/>
      <w:r w:rsidR="003B0644" w:rsidRPr="00C43006">
        <w:rPr>
          <w:rFonts w:ascii="Times New Roman" w:hAnsi="Times New Roman" w:cs="Times New Roman"/>
          <w:lang w:val="tr-TR"/>
        </w:rPr>
        <w:t xml:space="preserve"> </w:t>
      </w:r>
      <w:proofErr w:type="spellStart"/>
      <w:r w:rsidR="003B0644" w:rsidRPr="00C43006">
        <w:rPr>
          <w:rFonts w:ascii="Times New Roman" w:hAnsi="Times New Roman" w:cs="Times New Roman"/>
          <w:lang w:val="tr-TR"/>
        </w:rPr>
        <w:t>Industry</w:t>
      </w:r>
      <w:proofErr w:type="spellEnd"/>
      <w:r w:rsidR="003B0644" w:rsidRPr="00C43006">
        <w:rPr>
          <w:rFonts w:ascii="Times New Roman" w:hAnsi="Times New Roman" w:cs="Times New Roman"/>
          <w:lang w:val="tr-TR"/>
        </w:rPr>
        <w:t xml:space="preserve">, Presentation </w:t>
      </w:r>
      <w:proofErr w:type="spellStart"/>
      <w:r w:rsidR="003B0644" w:rsidRPr="00C43006">
        <w:rPr>
          <w:rFonts w:ascii="Times New Roman" w:hAnsi="Times New Roman" w:cs="Times New Roman"/>
          <w:lang w:val="tr-TR"/>
        </w:rPr>
        <w:t>to</w:t>
      </w:r>
      <w:proofErr w:type="spellEnd"/>
      <w:r w:rsidR="003B0644" w:rsidRPr="00C43006">
        <w:rPr>
          <w:rFonts w:ascii="Times New Roman" w:hAnsi="Times New Roman" w:cs="Times New Roman"/>
          <w:lang w:val="tr-TR"/>
        </w:rPr>
        <w:t xml:space="preserve"> </w:t>
      </w:r>
      <w:proofErr w:type="spellStart"/>
      <w:r w:rsidR="003B0644" w:rsidRPr="00C43006">
        <w:rPr>
          <w:rFonts w:ascii="Times New Roman" w:hAnsi="Times New Roman" w:cs="Times New Roman"/>
          <w:lang w:val="tr-TR"/>
        </w:rPr>
        <w:t>the</w:t>
      </w:r>
      <w:proofErr w:type="spellEnd"/>
      <w:r w:rsidR="003B0644" w:rsidRPr="00C43006">
        <w:rPr>
          <w:rFonts w:ascii="Times New Roman" w:hAnsi="Times New Roman" w:cs="Times New Roman"/>
          <w:lang w:val="tr-TR"/>
        </w:rPr>
        <w:t xml:space="preserve"> </w:t>
      </w:r>
      <w:proofErr w:type="spellStart"/>
      <w:r w:rsidR="003B0644" w:rsidRPr="00C43006">
        <w:rPr>
          <w:rFonts w:ascii="Times New Roman" w:hAnsi="Times New Roman" w:cs="Times New Roman"/>
          <w:lang w:val="tr-TR"/>
        </w:rPr>
        <w:t>Committee</w:t>
      </w:r>
      <w:proofErr w:type="spellEnd"/>
      <w:r w:rsidR="003B0644" w:rsidRPr="00C43006">
        <w:rPr>
          <w:rFonts w:ascii="Times New Roman" w:hAnsi="Times New Roman" w:cs="Times New Roman"/>
          <w:lang w:val="tr-TR"/>
        </w:rPr>
        <w:t xml:space="preserve"> on </w:t>
      </w:r>
      <w:proofErr w:type="spellStart"/>
      <w:r w:rsidR="003B0644" w:rsidRPr="00C43006">
        <w:rPr>
          <w:rFonts w:ascii="Times New Roman" w:hAnsi="Times New Roman" w:cs="Times New Roman"/>
          <w:lang w:val="tr-TR"/>
        </w:rPr>
        <w:t>Trade</w:t>
      </w:r>
      <w:proofErr w:type="spellEnd"/>
      <w:r w:rsidR="003B0644" w:rsidRPr="00C43006">
        <w:rPr>
          <w:rFonts w:ascii="Times New Roman" w:hAnsi="Times New Roman" w:cs="Times New Roman"/>
          <w:lang w:val="tr-TR"/>
        </w:rPr>
        <w:t xml:space="preserve">, </w:t>
      </w:r>
      <w:proofErr w:type="spellStart"/>
      <w:r w:rsidR="003B0644" w:rsidRPr="00C43006">
        <w:rPr>
          <w:rFonts w:ascii="Times New Roman" w:hAnsi="Times New Roman" w:cs="Times New Roman"/>
          <w:lang w:val="tr-TR"/>
        </w:rPr>
        <w:t>Industry</w:t>
      </w:r>
      <w:proofErr w:type="spellEnd"/>
      <w:r w:rsidR="003B0644" w:rsidRPr="00C43006">
        <w:rPr>
          <w:rFonts w:ascii="Times New Roman" w:hAnsi="Times New Roman" w:cs="Times New Roman"/>
          <w:lang w:val="tr-TR"/>
        </w:rPr>
        <w:t xml:space="preserve"> </w:t>
      </w:r>
      <w:proofErr w:type="spellStart"/>
      <w:r w:rsidR="003B0644" w:rsidRPr="00C43006">
        <w:rPr>
          <w:rFonts w:ascii="Times New Roman" w:hAnsi="Times New Roman" w:cs="Times New Roman"/>
          <w:lang w:val="tr-TR"/>
        </w:rPr>
        <w:t>and</w:t>
      </w:r>
      <w:proofErr w:type="spellEnd"/>
      <w:r w:rsidR="003B0644" w:rsidRPr="00C43006">
        <w:rPr>
          <w:rFonts w:ascii="Times New Roman" w:hAnsi="Times New Roman" w:cs="Times New Roman"/>
          <w:lang w:val="tr-TR"/>
        </w:rPr>
        <w:t xml:space="preserve"> </w:t>
      </w:r>
      <w:proofErr w:type="spellStart"/>
      <w:r w:rsidR="003B0644" w:rsidRPr="00C43006">
        <w:rPr>
          <w:rFonts w:ascii="Times New Roman" w:hAnsi="Times New Roman" w:cs="Times New Roman"/>
          <w:lang w:val="tr-TR"/>
        </w:rPr>
        <w:t>Competition</w:t>
      </w:r>
      <w:proofErr w:type="spellEnd"/>
      <w:r w:rsidR="003B0644" w:rsidRPr="00C43006">
        <w:rPr>
          <w:rFonts w:ascii="Times New Roman" w:hAnsi="Times New Roman" w:cs="Times New Roman"/>
          <w:lang w:val="tr-TR"/>
        </w:rPr>
        <w:t xml:space="preserve">, DTIC, 2022. </w:t>
      </w:r>
    </w:p>
    <w:p w:rsidR="003B0644" w:rsidRPr="00C43006" w:rsidRDefault="003B0644" w:rsidP="00C43006">
      <w:pPr>
        <w:spacing w:after="0"/>
        <w:rPr>
          <w:rFonts w:ascii="Times New Roman" w:hAnsi="Times New Roman" w:cs="Times New Roman"/>
          <w:lang w:val="tr-TR"/>
        </w:rPr>
      </w:pPr>
      <w:r w:rsidRPr="00C43006">
        <w:rPr>
          <w:rFonts w:ascii="Times New Roman" w:hAnsi="Times New Roman" w:cs="Times New Roman"/>
          <w:lang w:val="tr-TR"/>
        </w:rPr>
        <w:t>https://www.thedtic.gov.za/wp-content/uploads/Master-Plans.pdf</w:t>
      </w:r>
    </w:p>
    <w:p w:rsidR="003B0644" w:rsidRPr="00C43006" w:rsidRDefault="003B0644" w:rsidP="00C43006">
      <w:pPr>
        <w:spacing w:after="0"/>
        <w:rPr>
          <w:rFonts w:ascii="Times New Roman" w:hAnsi="Times New Roman" w:cs="Times New Roman"/>
          <w:lang w:val="tr-TR"/>
        </w:rPr>
      </w:pPr>
    </w:p>
    <w:p w:rsidR="003B0644" w:rsidRPr="00C43006" w:rsidRDefault="00C43006" w:rsidP="00C43006">
      <w:pPr>
        <w:spacing w:after="0"/>
        <w:rPr>
          <w:rFonts w:ascii="Times New Roman" w:hAnsi="Times New Roman" w:cs="Times New Roman"/>
          <w:lang w:val="tr-TR"/>
        </w:rPr>
      </w:pPr>
      <w:r w:rsidRPr="00C43006">
        <w:rPr>
          <w:rFonts w:ascii="Times New Roman" w:hAnsi="Times New Roman" w:cs="Times New Roman"/>
          <w:lang w:val="tr-TR"/>
        </w:rPr>
        <w:t>-</w:t>
      </w:r>
      <w:r>
        <w:rPr>
          <w:rFonts w:ascii="Times New Roman" w:hAnsi="Times New Roman" w:cs="Times New Roman"/>
          <w:lang w:val="tr-TR"/>
        </w:rPr>
        <w:t xml:space="preserve"> </w:t>
      </w:r>
      <w:r w:rsidR="003B0644" w:rsidRPr="00C43006">
        <w:rPr>
          <w:rFonts w:ascii="Times New Roman" w:hAnsi="Times New Roman" w:cs="Times New Roman"/>
          <w:lang w:val="tr-TR"/>
        </w:rPr>
        <w:t>https://www.statssa.gov.za/</w:t>
      </w:r>
    </w:p>
    <w:p w:rsidR="003B0644" w:rsidRPr="00C43006" w:rsidRDefault="003B0644" w:rsidP="00C43006">
      <w:pPr>
        <w:spacing w:after="0"/>
        <w:rPr>
          <w:rFonts w:ascii="Times New Roman" w:hAnsi="Times New Roman" w:cs="Times New Roman"/>
          <w:lang w:val="tr-TR"/>
        </w:rPr>
      </w:pPr>
    </w:p>
    <w:p w:rsidR="003B0644" w:rsidRPr="00C43006" w:rsidRDefault="00C43006" w:rsidP="00C43006">
      <w:pPr>
        <w:spacing w:after="0"/>
        <w:rPr>
          <w:rFonts w:ascii="Times New Roman" w:hAnsi="Times New Roman" w:cs="Times New Roman"/>
          <w:lang w:val="tr-TR"/>
        </w:rPr>
      </w:pPr>
      <w:r w:rsidRPr="00C43006">
        <w:rPr>
          <w:rFonts w:ascii="Times New Roman" w:hAnsi="Times New Roman" w:cs="Times New Roman"/>
          <w:lang w:val="tr-TR"/>
        </w:rPr>
        <w:t>-</w:t>
      </w:r>
      <w:r>
        <w:rPr>
          <w:rFonts w:ascii="Times New Roman" w:hAnsi="Times New Roman" w:cs="Times New Roman"/>
          <w:lang w:val="tr-TR"/>
        </w:rPr>
        <w:t xml:space="preserve"> </w:t>
      </w:r>
      <w:r w:rsidR="003B0644" w:rsidRPr="00C43006">
        <w:rPr>
          <w:rFonts w:ascii="Times New Roman" w:hAnsi="Times New Roman" w:cs="Times New Roman"/>
          <w:lang w:val="tr-TR"/>
        </w:rPr>
        <w:t>https://www-idc-co-za.b-cdn.net/wp-content/uploads/2024/01/IDC-Research-and-Information-publication-Sector-Trends-January-2024.pdf</w:t>
      </w:r>
    </w:p>
    <w:p w:rsidR="003B0644" w:rsidRPr="00C43006" w:rsidRDefault="003B0644" w:rsidP="00C43006">
      <w:pPr>
        <w:spacing w:after="0"/>
        <w:rPr>
          <w:rFonts w:ascii="Times New Roman" w:hAnsi="Times New Roman" w:cs="Times New Roman"/>
          <w:lang w:val="tr-TR"/>
        </w:rPr>
      </w:pPr>
    </w:p>
    <w:p w:rsidR="003B0644" w:rsidRPr="00C43006" w:rsidRDefault="00C43006" w:rsidP="00C43006">
      <w:pPr>
        <w:spacing w:after="0"/>
        <w:rPr>
          <w:rFonts w:ascii="Times New Roman" w:hAnsi="Times New Roman" w:cs="Times New Roman"/>
          <w:lang w:val="tr-TR"/>
        </w:rPr>
      </w:pPr>
      <w:r>
        <w:rPr>
          <w:rFonts w:ascii="Times New Roman" w:hAnsi="Times New Roman" w:cs="Times New Roman"/>
          <w:lang w:val="tr-TR"/>
        </w:rPr>
        <w:t>h</w:t>
      </w:r>
      <w:r w:rsidRPr="00C43006">
        <w:rPr>
          <w:rFonts w:ascii="Times New Roman" w:hAnsi="Times New Roman" w:cs="Times New Roman"/>
          <w:lang w:val="tr-TR"/>
        </w:rPr>
        <w:t>ttps://</w:t>
      </w:r>
      <w:r w:rsidR="003B0644" w:rsidRPr="00C43006">
        <w:rPr>
          <w:rFonts w:ascii="Times New Roman" w:hAnsi="Times New Roman" w:cs="Times New Roman"/>
          <w:lang w:val="tr-TR"/>
        </w:rPr>
        <w:t>www.trademap.org/Bilateral_TS.aspx?nvpm=1%7c710%7c%7c792%7c%7c94%7c%7c%7c4%7c1%7c1%7c1%7c2%7c1%7c1%7c1%7c1%7c1</w:t>
      </w:r>
    </w:p>
    <w:p w:rsidR="00C43006" w:rsidRDefault="00C43006" w:rsidP="00C43006">
      <w:pPr>
        <w:spacing w:after="0"/>
        <w:rPr>
          <w:rFonts w:ascii="Times New Roman" w:hAnsi="Times New Roman" w:cs="Times New Roman"/>
          <w:lang w:val="tr-TR"/>
        </w:rPr>
      </w:pPr>
    </w:p>
    <w:p w:rsidR="00541DA9" w:rsidRPr="00C43006" w:rsidRDefault="00C43006" w:rsidP="00C43006">
      <w:pPr>
        <w:spacing w:after="0"/>
        <w:rPr>
          <w:rFonts w:ascii="Times New Roman" w:hAnsi="Times New Roman" w:cs="Times New Roman"/>
          <w:lang w:val="tr-TR"/>
        </w:rPr>
      </w:pPr>
      <w:r w:rsidRPr="00C43006">
        <w:rPr>
          <w:rFonts w:ascii="Times New Roman" w:hAnsi="Times New Roman" w:cs="Times New Roman"/>
          <w:lang w:val="tr-TR"/>
        </w:rPr>
        <w:t>-</w:t>
      </w:r>
      <w:r>
        <w:rPr>
          <w:rFonts w:ascii="Times New Roman" w:hAnsi="Times New Roman" w:cs="Times New Roman"/>
          <w:lang w:val="tr-TR"/>
        </w:rPr>
        <w:t xml:space="preserve"> </w:t>
      </w:r>
      <w:r w:rsidR="00541DA9" w:rsidRPr="00C43006">
        <w:rPr>
          <w:rFonts w:ascii="Times New Roman" w:hAnsi="Times New Roman" w:cs="Times New Roman"/>
          <w:lang w:val="tr-TR"/>
        </w:rPr>
        <w:t>https://www.wesgro.co.za/uploads/files/Wesgro-Research_Analysis-of-the-Furniture-Industry-Globally-and-in-SA_2022.06.pdf</w:t>
      </w:r>
    </w:p>
    <w:p w:rsidR="003B0644" w:rsidRPr="00C43006" w:rsidRDefault="003B0644" w:rsidP="003B0644">
      <w:pPr>
        <w:spacing w:after="0"/>
        <w:ind w:left="357"/>
        <w:rPr>
          <w:rFonts w:ascii="Times New Roman" w:hAnsi="Times New Roman" w:cs="Times New Roman"/>
          <w:lang w:val="tr-TR"/>
        </w:rPr>
      </w:pPr>
    </w:p>
    <w:sectPr w:rsidR="003B0644" w:rsidRPr="00C43006" w:rsidSect="00634C35">
      <w:footerReference w:type="default" r:id="rId18"/>
      <w:pgSz w:w="11906" w:h="16838"/>
      <w:pgMar w:top="1440" w:right="1133"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A4B" w:rsidRDefault="000B4A4B" w:rsidP="005F5034">
      <w:pPr>
        <w:spacing w:after="0" w:line="240" w:lineRule="auto"/>
      </w:pPr>
      <w:r>
        <w:separator/>
      </w:r>
    </w:p>
  </w:endnote>
  <w:endnote w:type="continuationSeparator" w:id="0">
    <w:p w:rsidR="000B4A4B" w:rsidRDefault="000B4A4B" w:rsidP="005F5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806662"/>
      <w:docPartObj>
        <w:docPartGallery w:val="Page Numbers (Bottom of Page)"/>
        <w:docPartUnique/>
      </w:docPartObj>
    </w:sdtPr>
    <w:sdtContent>
      <w:p w:rsidR="00B76886" w:rsidRDefault="00B76886">
        <w:pPr>
          <w:pStyle w:val="AltBilgi"/>
          <w:jc w:val="center"/>
        </w:pPr>
        <w:r>
          <w:fldChar w:fldCharType="begin"/>
        </w:r>
        <w:r>
          <w:instrText>PAGE   \* MERGEFORMAT</w:instrText>
        </w:r>
        <w:r>
          <w:fldChar w:fldCharType="separate"/>
        </w:r>
        <w:r w:rsidR="00834AFD" w:rsidRPr="00834AFD">
          <w:rPr>
            <w:noProof/>
            <w:lang w:val="tr-TR"/>
          </w:rPr>
          <w:t>10</w:t>
        </w:r>
        <w:r>
          <w:fldChar w:fldCharType="end"/>
        </w:r>
      </w:p>
    </w:sdtContent>
  </w:sdt>
  <w:p w:rsidR="00B76886" w:rsidRDefault="00B7688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A4B" w:rsidRDefault="000B4A4B" w:rsidP="005F5034">
      <w:pPr>
        <w:spacing w:after="0" w:line="240" w:lineRule="auto"/>
      </w:pPr>
      <w:r>
        <w:separator/>
      </w:r>
    </w:p>
  </w:footnote>
  <w:footnote w:type="continuationSeparator" w:id="0">
    <w:p w:rsidR="000B4A4B" w:rsidRDefault="000B4A4B" w:rsidP="005F5034">
      <w:pPr>
        <w:spacing w:after="0" w:line="240" w:lineRule="auto"/>
      </w:pPr>
      <w:r>
        <w:continuationSeparator/>
      </w:r>
    </w:p>
  </w:footnote>
  <w:footnote w:id="1">
    <w:p w:rsidR="00B76886" w:rsidRPr="00F54D9C" w:rsidRDefault="00B76886">
      <w:pPr>
        <w:pStyle w:val="DipnotMetni"/>
        <w:rPr>
          <w:rFonts w:ascii="Times New Roman" w:hAnsi="Times New Roman"/>
          <w:lang w:val="tr-TR"/>
        </w:rPr>
      </w:pPr>
      <w:r w:rsidRPr="00F54D9C">
        <w:rPr>
          <w:rStyle w:val="DipnotBavurusu"/>
          <w:rFonts w:ascii="Times New Roman" w:hAnsi="Times New Roman"/>
          <w:szCs w:val="24"/>
          <w:vertAlign w:val="baseline"/>
        </w:rPr>
        <w:footnoteRef/>
      </w:r>
      <w:r w:rsidRPr="00F54D9C">
        <w:rPr>
          <w:rStyle w:val="DipnotBavurusu"/>
          <w:rFonts w:ascii="Times New Roman" w:hAnsi="Times New Roman"/>
          <w:szCs w:val="24"/>
          <w:vertAlign w:val="baseline"/>
        </w:rPr>
        <w:t xml:space="preserve"> Statista, Industries</w:t>
      </w:r>
      <w:r w:rsidRPr="00F54D9C">
        <w:rPr>
          <w:rFonts w:ascii="Times New Roman" w:hAnsi="Times New Roman"/>
          <w:szCs w:val="24"/>
        </w:rPr>
        <w:t xml:space="preserve"> </w:t>
      </w:r>
      <w:r w:rsidRPr="00F54D9C">
        <w:rPr>
          <w:rStyle w:val="DipnotBavurusu"/>
          <w:rFonts w:ascii="Times New Roman" w:hAnsi="Times New Roman"/>
          <w:vertAlign w:val="baseline"/>
        </w:rPr>
        <w:t xml:space="preserve">&amp; </w:t>
      </w:r>
      <w:r w:rsidRPr="00F54D9C">
        <w:rPr>
          <w:rStyle w:val="DipnotBavurusu"/>
          <w:rFonts w:ascii="Times New Roman" w:hAnsi="Times New Roman"/>
          <w:szCs w:val="24"/>
          <w:vertAlign w:val="baseline"/>
        </w:rPr>
        <w:t>Markets, Furniture Industry Worldwide; https://tproxy.ticaret.gov.tr:2113/study/58313/furniture-market-worldwide/.</w:t>
      </w:r>
    </w:p>
  </w:footnote>
  <w:footnote w:id="2">
    <w:p w:rsidR="00B76886" w:rsidRPr="00AB5EB9" w:rsidRDefault="00B76886" w:rsidP="00812DC8">
      <w:pPr>
        <w:pStyle w:val="DipnotMetni"/>
        <w:rPr>
          <w:rFonts w:ascii="Times New Roman" w:hAnsi="Times New Roman" w:cs="Times New Roman"/>
          <w:lang w:val="tr-TR"/>
        </w:rPr>
      </w:pPr>
      <w:r w:rsidRPr="00AB5EB9">
        <w:rPr>
          <w:rStyle w:val="DipnotBavurusu"/>
          <w:rFonts w:ascii="Times New Roman" w:hAnsi="Times New Roman" w:cs="Times New Roman"/>
          <w:szCs w:val="24"/>
          <w:vertAlign w:val="baseline"/>
        </w:rPr>
        <w:footnoteRef/>
      </w:r>
      <w:r w:rsidRPr="00AB5EB9">
        <w:rPr>
          <w:rStyle w:val="DipnotBavurusu"/>
          <w:rFonts w:ascii="Times New Roman" w:hAnsi="Times New Roman" w:cs="Times New Roman"/>
          <w:szCs w:val="24"/>
          <w:vertAlign w:val="baseline"/>
        </w:rPr>
        <w:t xml:space="preserve"> Masterplan for the South African Furniture Industry, Presentation to the Committee on Trade, Industry and Competition, DTIC, 2022.</w:t>
      </w:r>
    </w:p>
  </w:footnote>
  <w:footnote w:id="3">
    <w:p w:rsidR="00B76886" w:rsidRPr="00AB5EB9" w:rsidRDefault="00B76886">
      <w:pPr>
        <w:pStyle w:val="DipnotMetni"/>
        <w:rPr>
          <w:rFonts w:ascii="Times New Roman" w:hAnsi="Times New Roman" w:cs="Times New Roman"/>
          <w:lang w:val="tr-TR"/>
        </w:rPr>
      </w:pPr>
      <w:r w:rsidRPr="00AB5EB9">
        <w:rPr>
          <w:rStyle w:val="DipnotBavurusu"/>
          <w:rFonts w:ascii="Times New Roman" w:hAnsi="Times New Roman" w:cs="Times New Roman"/>
          <w:szCs w:val="18"/>
          <w:vertAlign w:val="baseline"/>
        </w:rPr>
        <w:footnoteRef/>
      </w:r>
      <w:r w:rsidRPr="00AB5EB9">
        <w:rPr>
          <w:rStyle w:val="DipnotBavurusu"/>
          <w:szCs w:val="18"/>
          <w:vertAlign w:val="baseline"/>
        </w:rPr>
        <w:t xml:space="preserve"> </w:t>
      </w:r>
      <w:r w:rsidRPr="00AB5EB9">
        <w:rPr>
          <w:rFonts w:ascii="Times New Roman" w:hAnsi="Times New Roman" w:cs="Times New Roman"/>
        </w:rPr>
        <w:t>https://www.thedtic.gov.za/wp-content/uploads/Master-Plans.pdf</w:t>
      </w:r>
    </w:p>
  </w:footnote>
  <w:footnote w:id="4">
    <w:p w:rsidR="00B76886" w:rsidRPr="00AB5EB9" w:rsidRDefault="00B76886">
      <w:pPr>
        <w:pStyle w:val="DipnotMetni"/>
        <w:rPr>
          <w:rFonts w:ascii="Times New Roman" w:hAnsi="Times New Roman" w:cs="Times New Roman"/>
          <w:sz w:val="18"/>
          <w:szCs w:val="18"/>
          <w:lang w:val="tr-TR"/>
        </w:rPr>
      </w:pPr>
      <w:r w:rsidRPr="00AB5EB9">
        <w:rPr>
          <w:rStyle w:val="DipnotBavurusu"/>
          <w:rFonts w:ascii="Times New Roman" w:hAnsi="Times New Roman" w:cs="Times New Roman"/>
          <w:szCs w:val="18"/>
          <w:vertAlign w:val="baseline"/>
        </w:rPr>
        <w:footnoteRef/>
      </w:r>
      <w:r w:rsidRPr="00AB5EB9">
        <w:rPr>
          <w:rFonts w:ascii="Times New Roman" w:hAnsi="Times New Roman" w:cs="Times New Roman"/>
          <w:szCs w:val="18"/>
        </w:rPr>
        <w:t xml:space="preserve"> </w:t>
      </w:r>
      <w:proofErr w:type="spellStart"/>
      <w:r>
        <w:t>Stat</w:t>
      </w:r>
      <w:r w:rsidR="00825EB9">
        <w:t>s</w:t>
      </w:r>
      <w:r>
        <w:t>SA</w:t>
      </w:r>
      <w:proofErr w:type="spellEnd"/>
      <w:r>
        <w:t xml:space="preserve"> </w:t>
      </w:r>
      <w:proofErr w:type="spellStart"/>
      <w:r>
        <w:t>verilerinden</w:t>
      </w:r>
      <w:proofErr w:type="spellEnd"/>
      <w:r>
        <w:t xml:space="preserve"> </w:t>
      </w:r>
      <w:proofErr w:type="spellStart"/>
      <w:r>
        <w:t>yararlanılarak</w:t>
      </w:r>
      <w:proofErr w:type="spellEnd"/>
      <w:r>
        <w:t xml:space="preserve"> </w:t>
      </w:r>
      <w:proofErr w:type="spellStart"/>
      <w:r>
        <w:t>hazırlanmıştır</w:t>
      </w:r>
      <w:proofErr w:type="spellEnd"/>
      <w:r>
        <w:rPr>
          <w:rFonts w:ascii="Times New Roman" w:hAnsi="Times New Roman" w:cs="Times New Roman"/>
          <w:szCs w:val="18"/>
          <w:lang w:val="tr-TR"/>
        </w:rPr>
        <w:t xml:space="preserve">. </w:t>
      </w:r>
      <w:r w:rsidRPr="00AB5EB9">
        <w:rPr>
          <w:rFonts w:ascii="Times New Roman" w:hAnsi="Times New Roman" w:cs="Times New Roman"/>
          <w:szCs w:val="18"/>
          <w:lang w:val="tr-TR"/>
        </w:rPr>
        <w:t>https://www.statssa.gov.za/</w:t>
      </w:r>
    </w:p>
  </w:footnote>
  <w:footnote w:id="5">
    <w:p w:rsidR="00B76886" w:rsidRPr="00C53CEC" w:rsidRDefault="00B76886">
      <w:pPr>
        <w:pStyle w:val="DipnotMetni"/>
        <w:rPr>
          <w:lang w:val="tr-TR"/>
        </w:rPr>
      </w:pPr>
      <w:r>
        <w:rPr>
          <w:rStyle w:val="DipnotBavurusu"/>
        </w:rPr>
        <w:footnoteRef/>
      </w:r>
      <w:r>
        <w:t xml:space="preserve"> </w:t>
      </w:r>
      <w:proofErr w:type="spellStart"/>
      <w:r>
        <w:t>Stat</w:t>
      </w:r>
      <w:r w:rsidR="00825EB9">
        <w:t>s</w:t>
      </w:r>
      <w:r>
        <w:t>SA</w:t>
      </w:r>
      <w:proofErr w:type="spellEnd"/>
      <w:r>
        <w:t xml:space="preserve"> </w:t>
      </w:r>
      <w:proofErr w:type="spellStart"/>
      <w:r>
        <w:t>verilerinden</w:t>
      </w:r>
      <w:proofErr w:type="spellEnd"/>
      <w:r>
        <w:t xml:space="preserve"> </w:t>
      </w:r>
      <w:proofErr w:type="spellStart"/>
      <w:r>
        <w:t>yararlanılarak</w:t>
      </w:r>
      <w:proofErr w:type="spellEnd"/>
      <w:r>
        <w:t xml:space="preserve"> </w:t>
      </w:r>
      <w:proofErr w:type="spellStart"/>
      <w:r>
        <w:t>hazırlanmıştır</w:t>
      </w:r>
      <w:proofErr w:type="spellEnd"/>
      <w:r>
        <w:t xml:space="preserve">. </w:t>
      </w:r>
      <w:r w:rsidRPr="00C53CEC">
        <w:t>https://www.statssa.gov.za/?page_id=1847</w:t>
      </w:r>
    </w:p>
  </w:footnote>
  <w:footnote w:id="6">
    <w:p w:rsidR="00B76886" w:rsidRPr="003933E8" w:rsidRDefault="00B76886">
      <w:pPr>
        <w:pStyle w:val="DipnotMetni"/>
        <w:rPr>
          <w:lang w:val="tr-TR"/>
        </w:rPr>
      </w:pPr>
      <w:r>
        <w:rPr>
          <w:rStyle w:val="DipnotBavurusu"/>
        </w:rPr>
        <w:footnoteRef/>
      </w:r>
      <w:r>
        <w:t xml:space="preserve"> </w:t>
      </w:r>
      <w:proofErr w:type="spellStart"/>
      <w:r>
        <w:t>Stat</w:t>
      </w:r>
      <w:r w:rsidR="00825EB9">
        <w:t>s</w:t>
      </w:r>
      <w:r>
        <w:t>SA</w:t>
      </w:r>
      <w:proofErr w:type="spellEnd"/>
      <w:r>
        <w:t xml:space="preserve"> </w:t>
      </w:r>
      <w:proofErr w:type="spellStart"/>
      <w:r>
        <w:t>verilerinden</w:t>
      </w:r>
      <w:proofErr w:type="spellEnd"/>
      <w:r>
        <w:t xml:space="preserve"> </w:t>
      </w:r>
      <w:proofErr w:type="spellStart"/>
      <w:r>
        <w:t>yararlanılarak</w:t>
      </w:r>
      <w:proofErr w:type="spellEnd"/>
      <w:r>
        <w:t xml:space="preserve"> </w:t>
      </w:r>
      <w:proofErr w:type="spellStart"/>
      <w:r>
        <w:t>hazırlanmıştır</w:t>
      </w:r>
      <w:proofErr w:type="spellEnd"/>
      <w:r>
        <w:t xml:space="preserve">. </w:t>
      </w:r>
      <w:r w:rsidRPr="003933E8">
        <w:t>https://www.statssa.gov.za/?page_id=1847</w:t>
      </w:r>
    </w:p>
  </w:footnote>
  <w:footnote w:id="7">
    <w:p w:rsidR="00B76886" w:rsidRPr="00634C35" w:rsidRDefault="00B76886">
      <w:pPr>
        <w:pStyle w:val="DipnotMetni"/>
        <w:rPr>
          <w:lang w:val="tr-TR"/>
        </w:rPr>
      </w:pPr>
      <w:r>
        <w:rPr>
          <w:rStyle w:val="DipnotBavurusu"/>
        </w:rPr>
        <w:footnoteRef/>
      </w:r>
      <w:r>
        <w:t xml:space="preserve"> </w:t>
      </w:r>
      <w:r w:rsidRPr="00634C35">
        <w:t>https://www-idc-co-za.b-cdn.net/wp-content/uploads/2024/01/IDC-Research-and-Information-publication-Sector-Trends-January-2024.pdf</w:t>
      </w:r>
    </w:p>
  </w:footnote>
  <w:footnote w:id="8">
    <w:p w:rsidR="00B76886" w:rsidRPr="00B50FE3" w:rsidRDefault="00B76886">
      <w:pPr>
        <w:pStyle w:val="DipnotMetni"/>
        <w:rPr>
          <w:lang w:val="tr-TR"/>
        </w:rPr>
      </w:pPr>
      <w:r>
        <w:rPr>
          <w:rStyle w:val="DipnotBavurusu"/>
        </w:rPr>
        <w:footnoteRef/>
      </w:r>
      <w:r>
        <w:t xml:space="preserve"> </w:t>
      </w:r>
      <w:r w:rsidRPr="00B50FE3">
        <w:t>https://www.trademap.org/Bilateral_TS.aspx?nvpm=1%7c710%7c%7c792%7c%7c94%7c%7c%7c4%7c1%7c1%7c1%7c2%7c1%7c1%7c1%7c1%7c1</w:t>
      </w:r>
    </w:p>
  </w:footnote>
  <w:footnote w:id="9">
    <w:p w:rsidR="00B76886" w:rsidRPr="00A219EA" w:rsidRDefault="00B76886">
      <w:pPr>
        <w:pStyle w:val="DipnotMetni"/>
        <w:rPr>
          <w:lang w:val="tr-TR"/>
        </w:rPr>
      </w:pPr>
      <w:r>
        <w:rPr>
          <w:rStyle w:val="DipnotBavurusu"/>
        </w:rPr>
        <w:footnoteRef/>
      </w:r>
      <w:r>
        <w:t xml:space="preserve"> </w:t>
      </w:r>
      <w:r>
        <w:rPr>
          <w:rFonts w:ascii="Times New Roman" w:hAnsi="Times New Roman" w:cs="Times New Roman"/>
          <w:lang w:val="tr-TR"/>
        </w:rPr>
        <w:t xml:space="preserve">Grafiğin içerdiği veriler elektrikli ev eşyalarını, ya da Tarife Cetvelinin diğer fasılları altında yer alan ve mobilya üretimine mahsus bir kısım eşyayı kapsamamaktadır.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0520E"/>
    <w:multiLevelType w:val="hybridMultilevel"/>
    <w:tmpl w:val="2CE82B60"/>
    <w:lvl w:ilvl="0" w:tplc="843EE156">
      <w:start w:val="9"/>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 w15:restartNumberingAfterBreak="0">
    <w:nsid w:val="1B9A17D8"/>
    <w:multiLevelType w:val="hybridMultilevel"/>
    <w:tmpl w:val="93269E64"/>
    <w:lvl w:ilvl="0" w:tplc="6338DD70">
      <w:start w:val="9"/>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2F225D42"/>
    <w:multiLevelType w:val="multilevel"/>
    <w:tmpl w:val="4D82E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FE472E9"/>
    <w:multiLevelType w:val="hybridMultilevel"/>
    <w:tmpl w:val="B4663C64"/>
    <w:lvl w:ilvl="0" w:tplc="7F68511A">
      <w:start w:val="9"/>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 w15:restartNumberingAfterBreak="0">
    <w:nsid w:val="339C32C8"/>
    <w:multiLevelType w:val="hybridMultilevel"/>
    <w:tmpl w:val="15EC722C"/>
    <w:lvl w:ilvl="0" w:tplc="B3880CD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3B1674D3"/>
    <w:multiLevelType w:val="hybridMultilevel"/>
    <w:tmpl w:val="67B6474E"/>
    <w:lvl w:ilvl="0" w:tplc="2FD6B488">
      <w:start w:val="9"/>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 w15:restartNumberingAfterBreak="0">
    <w:nsid w:val="49340223"/>
    <w:multiLevelType w:val="hybridMultilevel"/>
    <w:tmpl w:val="838E5492"/>
    <w:lvl w:ilvl="0" w:tplc="E572D546">
      <w:start w:val="9"/>
      <w:numFmt w:val="bullet"/>
      <w:lvlText w:val="-"/>
      <w:lvlJc w:val="left"/>
      <w:pPr>
        <w:ind w:left="786" w:hanging="360"/>
      </w:pPr>
      <w:rPr>
        <w:rFonts w:ascii="Times New Roman" w:eastAsiaTheme="minorHAnsi"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4B6D4B0C"/>
    <w:multiLevelType w:val="hybridMultilevel"/>
    <w:tmpl w:val="2694489C"/>
    <w:lvl w:ilvl="0" w:tplc="9DEACA66">
      <w:start w:val="9"/>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 w15:restartNumberingAfterBreak="0">
    <w:nsid w:val="4FFD62EA"/>
    <w:multiLevelType w:val="hybridMultilevel"/>
    <w:tmpl w:val="66CE719E"/>
    <w:lvl w:ilvl="0" w:tplc="4E7C57EC">
      <w:start w:val="9"/>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 w15:restartNumberingAfterBreak="0">
    <w:nsid w:val="54840C61"/>
    <w:multiLevelType w:val="hybridMultilevel"/>
    <w:tmpl w:val="079668E2"/>
    <w:lvl w:ilvl="0" w:tplc="E7EC08AC">
      <w:start w:val="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93383B"/>
    <w:multiLevelType w:val="hybridMultilevel"/>
    <w:tmpl w:val="CB400706"/>
    <w:lvl w:ilvl="0" w:tplc="C80C10F4">
      <w:start w:val="9"/>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7F1B7DD2"/>
    <w:multiLevelType w:val="hybridMultilevel"/>
    <w:tmpl w:val="2B08567E"/>
    <w:lvl w:ilvl="0" w:tplc="A3C2CF0A">
      <w:start w:val="9"/>
      <w:numFmt w:val="bullet"/>
      <w:lvlText w:val="-"/>
      <w:lvlJc w:val="left"/>
      <w:pPr>
        <w:ind w:left="717" w:hanging="360"/>
      </w:pPr>
      <w:rPr>
        <w:rFonts w:ascii="Times New Roman" w:eastAsiaTheme="minorHAnsi"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num w:numId="1">
    <w:abstractNumId w:val="2"/>
  </w:num>
  <w:num w:numId="2">
    <w:abstractNumId w:val="4"/>
  </w:num>
  <w:num w:numId="3">
    <w:abstractNumId w:val="8"/>
  </w:num>
  <w:num w:numId="4">
    <w:abstractNumId w:val="3"/>
  </w:num>
  <w:num w:numId="5">
    <w:abstractNumId w:val="7"/>
  </w:num>
  <w:num w:numId="6">
    <w:abstractNumId w:val="5"/>
  </w:num>
  <w:num w:numId="7">
    <w:abstractNumId w:val="0"/>
  </w:num>
  <w:num w:numId="8">
    <w:abstractNumId w:val="10"/>
  </w:num>
  <w:num w:numId="9">
    <w:abstractNumId w:val="11"/>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03D"/>
    <w:rsid w:val="0004462E"/>
    <w:rsid w:val="000876A9"/>
    <w:rsid w:val="000A5101"/>
    <w:rsid w:val="000B4A4B"/>
    <w:rsid w:val="000C2773"/>
    <w:rsid w:val="000E3D7D"/>
    <w:rsid w:val="000F52EF"/>
    <w:rsid w:val="001134C9"/>
    <w:rsid w:val="0012236F"/>
    <w:rsid w:val="001318C5"/>
    <w:rsid w:val="00132EF0"/>
    <w:rsid w:val="00151BAA"/>
    <w:rsid w:val="00187595"/>
    <w:rsid w:val="00194FC0"/>
    <w:rsid w:val="001B329E"/>
    <w:rsid w:val="002263B2"/>
    <w:rsid w:val="00234650"/>
    <w:rsid w:val="00286967"/>
    <w:rsid w:val="002C338E"/>
    <w:rsid w:val="002C4CE2"/>
    <w:rsid w:val="0030219A"/>
    <w:rsid w:val="00334035"/>
    <w:rsid w:val="00346CBE"/>
    <w:rsid w:val="0036595F"/>
    <w:rsid w:val="003933E8"/>
    <w:rsid w:val="003B0644"/>
    <w:rsid w:val="003C330B"/>
    <w:rsid w:val="00440875"/>
    <w:rsid w:val="004507D4"/>
    <w:rsid w:val="00496AF1"/>
    <w:rsid w:val="004C7086"/>
    <w:rsid w:val="00541DA9"/>
    <w:rsid w:val="00562CA1"/>
    <w:rsid w:val="00573B47"/>
    <w:rsid w:val="00582EA2"/>
    <w:rsid w:val="00583A54"/>
    <w:rsid w:val="005B5A80"/>
    <w:rsid w:val="005C79E7"/>
    <w:rsid w:val="005F0E94"/>
    <w:rsid w:val="005F30D6"/>
    <w:rsid w:val="005F5034"/>
    <w:rsid w:val="0061733B"/>
    <w:rsid w:val="00634C35"/>
    <w:rsid w:val="00675C10"/>
    <w:rsid w:val="006913E2"/>
    <w:rsid w:val="00691F8C"/>
    <w:rsid w:val="00694F06"/>
    <w:rsid w:val="006A049B"/>
    <w:rsid w:val="006C4F12"/>
    <w:rsid w:val="006D4F86"/>
    <w:rsid w:val="006F7829"/>
    <w:rsid w:val="00717BB0"/>
    <w:rsid w:val="00721DA9"/>
    <w:rsid w:val="00745011"/>
    <w:rsid w:val="00783CD2"/>
    <w:rsid w:val="00785F48"/>
    <w:rsid w:val="007A3ECA"/>
    <w:rsid w:val="007D184F"/>
    <w:rsid w:val="007E0D9F"/>
    <w:rsid w:val="00804C95"/>
    <w:rsid w:val="00806CE9"/>
    <w:rsid w:val="00812DC8"/>
    <w:rsid w:val="00825EB9"/>
    <w:rsid w:val="00834AFD"/>
    <w:rsid w:val="00886830"/>
    <w:rsid w:val="008B384E"/>
    <w:rsid w:val="008C6CE8"/>
    <w:rsid w:val="0091033A"/>
    <w:rsid w:val="0093598B"/>
    <w:rsid w:val="009363A7"/>
    <w:rsid w:val="00950660"/>
    <w:rsid w:val="00956323"/>
    <w:rsid w:val="00957008"/>
    <w:rsid w:val="00991293"/>
    <w:rsid w:val="009A6233"/>
    <w:rsid w:val="009C7174"/>
    <w:rsid w:val="009F06F9"/>
    <w:rsid w:val="00A219EA"/>
    <w:rsid w:val="00A43A0D"/>
    <w:rsid w:val="00A4503D"/>
    <w:rsid w:val="00A62CBB"/>
    <w:rsid w:val="00AB5EB9"/>
    <w:rsid w:val="00AC54DE"/>
    <w:rsid w:val="00AC6847"/>
    <w:rsid w:val="00AE5779"/>
    <w:rsid w:val="00B05BDA"/>
    <w:rsid w:val="00B50FE3"/>
    <w:rsid w:val="00B73F02"/>
    <w:rsid w:val="00B76886"/>
    <w:rsid w:val="00BF060F"/>
    <w:rsid w:val="00C2059C"/>
    <w:rsid w:val="00C43006"/>
    <w:rsid w:val="00C53CEC"/>
    <w:rsid w:val="00CA4E00"/>
    <w:rsid w:val="00CC0AD7"/>
    <w:rsid w:val="00CC1590"/>
    <w:rsid w:val="00CD7CE0"/>
    <w:rsid w:val="00D108C8"/>
    <w:rsid w:val="00D7361E"/>
    <w:rsid w:val="00D74720"/>
    <w:rsid w:val="00D770A3"/>
    <w:rsid w:val="00D921FA"/>
    <w:rsid w:val="00E026BE"/>
    <w:rsid w:val="00E027EE"/>
    <w:rsid w:val="00F26A14"/>
    <w:rsid w:val="00F423E1"/>
    <w:rsid w:val="00F54D9C"/>
    <w:rsid w:val="00F65274"/>
    <w:rsid w:val="00F81BD8"/>
    <w:rsid w:val="00FD6ECC"/>
    <w:rsid w:val="00FE4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2A80"/>
  <w15:chartTrackingRefBased/>
  <w15:docId w15:val="{4A9CB7B8-FFE0-41D3-BD49-412FD0D1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21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autoRedefine/>
    <w:uiPriority w:val="9"/>
    <w:unhideWhenUsed/>
    <w:qFormat/>
    <w:rsid w:val="0030219A"/>
    <w:pPr>
      <w:keepNext/>
      <w:keepLines/>
      <w:spacing w:before="40" w:after="0"/>
      <w:outlineLvl w:val="1"/>
    </w:pPr>
    <w:rPr>
      <w:rFonts w:asciiTheme="majorHAnsi" w:eastAsiaTheme="majorEastAsia" w:hAnsiTheme="majorHAnsi" w:cstheme="majorBidi"/>
      <w:b/>
      <w:color w:val="C00000"/>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0219A"/>
    <w:rPr>
      <w:rFonts w:asciiTheme="majorHAnsi" w:eastAsiaTheme="majorEastAsia" w:hAnsiTheme="majorHAnsi" w:cstheme="majorBidi"/>
      <w:b/>
      <w:color w:val="C00000"/>
      <w:sz w:val="26"/>
      <w:szCs w:val="26"/>
    </w:rPr>
  </w:style>
  <w:style w:type="paragraph" w:styleId="ListeParagraf">
    <w:name w:val="List Paragraph"/>
    <w:basedOn w:val="Normal"/>
    <w:uiPriority w:val="34"/>
    <w:qFormat/>
    <w:rsid w:val="00A4503D"/>
    <w:pPr>
      <w:ind w:left="720"/>
      <w:contextualSpacing/>
    </w:pPr>
  </w:style>
  <w:style w:type="character" w:styleId="Kpr">
    <w:name w:val="Hyperlink"/>
    <w:basedOn w:val="VarsaylanParagrafYazTipi"/>
    <w:uiPriority w:val="99"/>
    <w:unhideWhenUsed/>
    <w:rsid w:val="00346CBE"/>
    <w:rPr>
      <w:color w:val="0563C1" w:themeColor="hyperlink"/>
      <w:u w:val="single"/>
    </w:rPr>
  </w:style>
  <w:style w:type="paragraph" w:styleId="DipnotMetni">
    <w:name w:val="footnote text"/>
    <w:basedOn w:val="Normal"/>
    <w:link w:val="DipnotMetniChar"/>
    <w:uiPriority w:val="99"/>
    <w:semiHidden/>
    <w:unhideWhenUsed/>
    <w:rsid w:val="005F503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F5034"/>
    <w:rPr>
      <w:sz w:val="20"/>
      <w:szCs w:val="20"/>
    </w:rPr>
  </w:style>
  <w:style w:type="character" w:styleId="DipnotBavurusu">
    <w:name w:val="footnote reference"/>
    <w:basedOn w:val="VarsaylanParagrafYazTipi"/>
    <w:uiPriority w:val="99"/>
    <w:semiHidden/>
    <w:unhideWhenUsed/>
    <w:rsid w:val="005F5034"/>
    <w:rPr>
      <w:vertAlign w:val="superscript"/>
    </w:rPr>
  </w:style>
  <w:style w:type="table" w:styleId="TabloKlavuzu">
    <w:name w:val="Table Grid"/>
    <w:basedOn w:val="NormalTablo"/>
    <w:uiPriority w:val="39"/>
    <w:rsid w:val="00A43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721DA9"/>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D108C8"/>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D108C8"/>
  </w:style>
  <w:style w:type="paragraph" w:styleId="AltBilgi">
    <w:name w:val="footer"/>
    <w:basedOn w:val="Normal"/>
    <w:link w:val="AltBilgiChar"/>
    <w:uiPriority w:val="99"/>
    <w:unhideWhenUsed/>
    <w:rsid w:val="00D108C8"/>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D10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22532">
      <w:bodyDiv w:val="1"/>
      <w:marLeft w:val="0"/>
      <w:marRight w:val="0"/>
      <w:marTop w:val="0"/>
      <w:marBottom w:val="0"/>
      <w:divBdr>
        <w:top w:val="none" w:sz="0" w:space="0" w:color="auto"/>
        <w:left w:val="none" w:sz="0" w:space="0" w:color="auto"/>
        <w:bottom w:val="none" w:sz="0" w:space="0" w:color="auto"/>
        <w:right w:val="none" w:sz="0" w:space="0" w:color="auto"/>
      </w:divBdr>
    </w:div>
    <w:div w:id="371611594">
      <w:bodyDiv w:val="1"/>
      <w:marLeft w:val="0"/>
      <w:marRight w:val="0"/>
      <w:marTop w:val="0"/>
      <w:marBottom w:val="0"/>
      <w:divBdr>
        <w:top w:val="none" w:sz="0" w:space="0" w:color="auto"/>
        <w:left w:val="none" w:sz="0" w:space="0" w:color="auto"/>
        <w:bottom w:val="none" w:sz="0" w:space="0" w:color="auto"/>
        <w:right w:val="none" w:sz="0" w:space="0" w:color="auto"/>
      </w:divBdr>
    </w:div>
    <w:div w:id="60368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lker\Desktop\G&#252;neyAfrikaTicaretM&#252;&#351;avirli&#287;i\PPI_2012%20to%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lker\AppData\Local\Temp\5df861ba-2b63-4117-a68e-7a6faf498571_P6242.1%20Retail%20trade%20sales%20(New%20time%20series)%20from%20January%202002_202508%20(1).zip.571\EXCEL\Retail%20trade%20sales%20from%2020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lker\AppData\Local\Temp\0b9552b6-bf32-44e0-a302-7ca04e7fb50d_P3041.2%20Manufacturing_%20Production%20and%20sales(202508)%20(2).zip.50d\EXCEL\Excel%20table%20from%20199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lker\AppData\Local\Temp\0b9552b6-bf32-44e0-a302-7ca04e7fb50d_P3041.2%20Manufacturing_%20Production%20and%20sales(202508)%20(2).zip.50d\EXCEL\Excel%20table%20from%201998.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lker\Downloads\Trade_Map_-_Bilateral_trade_between_South_Africa_and_T&#252;rkiye.xls"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baseline="0">
                <a:effectLst/>
              </a:rPr>
              <a:t>P0142.1</a:t>
            </a:r>
            <a:r>
              <a:rPr lang="en-GB" sz="1400" b="0" i="0" u="none" strike="noStrike" baseline="0"/>
              <a:t> </a:t>
            </a:r>
            <a:r>
              <a:rPr lang="en-GB" sz="1400" b="0" i="0" u="none" strike="noStrike" baseline="0">
                <a:effectLst/>
              </a:rPr>
              <a:t>Producer price index</a:t>
            </a:r>
            <a:r>
              <a:rPr lang="en-GB" sz="1400" b="0" i="0" u="none" strike="noStrike" baseline="0"/>
              <a:t> </a:t>
            </a:r>
            <a:r>
              <a:rPr lang="en-GB" sz="1400" b="0" i="0" u="none" strike="noStrike" baseline="0">
                <a:effectLst/>
              </a:rPr>
              <a:t>PPC39000</a:t>
            </a:r>
            <a:r>
              <a:rPr lang="en-GB" sz="1400" b="0" i="0" u="none" strike="noStrike" baseline="0"/>
              <a:t> </a:t>
            </a:r>
            <a:r>
              <a:rPr lang="en-GB" sz="1400" b="0" i="0" u="none" strike="noStrike" baseline="0">
                <a:effectLst/>
              </a:rPr>
              <a:t>PPI for final manufactured goods</a:t>
            </a:r>
            <a:r>
              <a:rPr lang="en-GB" sz="1400" b="0" i="0" u="none" strike="noStrike" baseline="0"/>
              <a:t> </a:t>
            </a:r>
            <a:r>
              <a:rPr lang="en-GB" sz="1400" b="0" i="0" u="none" strike="noStrike" baseline="0">
                <a:effectLst/>
              </a:rPr>
              <a:t>Furniture and other manufacturing</a:t>
            </a:r>
            <a:r>
              <a:rPr lang="en-GB" sz="1400" b="0" i="0" u="none" strike="noStrike" baseline="0"/>
              <a:t> </a:t>
            </a:r>
            <a:r>
              <a:rPr lang="en-GB" sz="1400" b="0" i="0" u="none" strike="noStrike" baseline="0">
                <a:effectLst/>
              </a:rPr>
              <a:t>Index</a:t>
            </a:r>
            <a:r>
              <a:rPr lang="en-GB" sz="1400" b="0" i="0" u="none" strike="noStrike" baseline="0"/>
              <a:t> </a:t>
            </a:r>
            <a:r>
              <a:rPr lang="en-GB" sz="1400" b="0" i="0" u="none" strike="noStrike" baseline="0">
                <a:effectLst/>
              </a:rPr>
              <a:t>Dec 2023=100</a:t>
            </a:r>
            <a:r>
              <a:rPr lang="en-GB" sz="1400" b="0" i="0" u="none" strike="noStrike" baseline="0"/>
              <a:t> </a:t>
            </a:r>
            <a:endParaRPr lang="tr-TR" sz="1400" b="0" i="0" u="none" strike="noStrike" baseline="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'Excel table for 2012 to 2025'!$M$92:$M$105</c:f>
              <c:numCache>
                <c:formatCode>General</c:formatCode>
                <c:ptCount val="14"/>
                <c:pt idx="0">
                  <c:v>2012</c:v>
                </c:pt>
                <c:pt idx="1">
                  <c:v>2013</c:v>
                </c:pt>
                <c:pt idx="2">
                  <c:v>2014</c:v>
                </c:pt>
                <c:pt idx="3">
                  <c:v>2015</c:v>
                </c:pt>
                <c:pt idx="4">
                  <c:v>2016</c:v>
                </c:pt>
                <c:pt idx="5">
                  <c:v>2017</c:v>
                </c:pt>
                <c:pt idx="6">
                  <c:v>2018</c:v>
                </c:pt>
                <c:pt idx="7">
                  <c:v>2019</c:v>
                </c:pt>
                <c:pt idx="8">
                  <c:v>2020</c:v>
                </c:pt>
                <c:pt idx="9">
                  <c:v>2021</c:v>
                </c:pt>
                <c:pt idx="10">
                  <c:v>2022</c:v>
                </c:pt>
                <c:pt idx="11">
                  <c:v>2023</c:v>
                </c:pt>
                <c:pt idx="12">
                  <c:v>2024</c:v>
                </c:pt>
                <c:pt idx="13">
                  <c:v>2025</c:v>
                </c:pt>
              </c:numCache>
            </c:numRef>
          </c:xVal>
          <c:yVal>
            <c:numRef>
              <c:f>'Excel table for 2012 to 2025'!$N$92:$N$105</c:f>
              <c:numCache>
                <c:formatCode>General</c:formatCode>
                <c:ptCount val="14"/>
                <c:pt idx="0">
                  <c:v>59.6</c:v>
                </c:pt>
                <c:pt idx="1">
                  <c:v>61.5</c:v>
                </c:pt>
                <c:pt idx="2">
                  <c:v>65.25</c:v>
                </c:pt>
                <c:pt idx="3">
                  <c:v>70.599999999999994</c:v>
                </c:pt>
                <c:pt idx="4">
                  <c:v>74.319999999999993</c:v>
                </c:pt>
                <c:pt idx="5">
                  <c:v>78.2</c:v>
                </c:pt>
                <c:pt idx="6">
                  <c:v>76.94</c:v>
                </c:pt>
                <c:pt idx="7">
                  <c:v>80.34</c:v>
                </c:pt>
                <c:pt idx="8">
                  <c:v>80.7</c:v>
                </c:pt>
                <c:pt idx="9">
                  <c:v>82.8</c:v>
                </c:pt>
                <c:pt idx="10">
                  <c:v>92.7</c:v>
                </c:pt>
                <c:pt idx="11">
                  <c:v>99.1</c:v>
                </c:pt>
                <c:pt idx="12">
                  <c:v>102.9</c:v>
                </c:pt>
                <c:pt idx="13">
                  <c:v>110.4</c:v>
                </c:pt>
              </c:numCache>
            </c:numRef>
          </c:yVal>
          <c:smooth val="1"/>
          <c:extLst>
            <c:ext xmlns:c16="http://schemas.microsoft.com/office/drawing/2014/chart" uri="{C3380CC4-5D6E-409C-BE32-E72D297353CC}">
              <c16:uniqueId val="{00000000-9099-4660-9A71-51181C3BFFB2}"/>
            </c:ext>
          </c:extLst>
        </c:ser>
        <c:dLbls>
          <c:showLegendKey val="0"/>
          <c:showVal val="0"/>
          <c:showCatName val="0"/>
          <c:showSerName val="0"/>
          <c:showPercent val="0"/>
          <c:showBubbleSize val="0"/>
        </c:dLbls>
        <c:axId val="1363209567"/>
        <c:axId val="1363210815"/>
      </c:scatterChart>
      <c:valAx>
        <c:axId val="136320956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210815"/>
        <c:crosses val="autoZero"/>
        <c:crossBetween val="midCat"/>
      </c:valAx>
      <c:valAx>
        <c:axId val="13632108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63209567"/>
        <c:crosses val="autoZero"/>
        <c:crossBetween val="midCat"/>
      </c:valAx>
      <c:spPr>
        <a:noFill/>
        <a:ln>
          <a:noFill/>
        </a:ln>
        <a:effectLst/>
      </c:spPr>
    </c:plotArea>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'[Retail trade sales from 2002.xlsx]Sayfa1'!$A$4:$I$4</c:f>
              <c:strCache>
                <c:ptCount val="9"/>
                <c:pt idx="0">
                  <c:v>P6242_1</c:v>
                </c:pt>
                <c:pt idx="1">
                  <c:v>Retail trade sales</c:v>
                </c:pt>
                <c:pt idx="2">
                  <c:v>sales6233_D11</c:v>
                </c:pt>
                <c:pt idx="3">
                  <c:v>Type of dealer</c:v>
                </c:pt>
                <c:pt idx="4">
                  <c:v>Retailers in household furniture,appliances and equipment</c:v>
                </c:pt>
                <c:pt idx="5">
                  <c:v>At current prices</c:v>
                </c:pt>
                <c:pt idx="6">
                  <c:v>Seasonally adjusted values</c:v>
                </c:pt>
                <c:pt idx="7">
                  <c:v>R million</c:v>
                </c:pt>
                <c:pt idx="8">
                  <c:v>Monthly</c:v>
                </c:pt>
              </c:strCache>
            </c:strRef>
          </c:tx>
          <c:spPr>
            <a:ln w="28575" cap="rnd">
              <a:solidFill>
                <a:schemeClr val="accent1"/>
              </a:solidFill>
              <a:round/>
            </a:ln>
            <a:effectLst/>
          </c:spPr>
          <c:marker>
            <c:symbol val="none"/>
          </c:marker>
          <c:cat>
            <c:strRef>
              <c:f>'[Retail trade sales from 2002.xlsx]Sayfa1'!$J$3:$CK$3</c:f>
              <c:strCache>
                <c:ptCount val="80"/>
                <c:pt idx="0">
                  <c:v>MO012019</c:v>
                </c:pt>
                <c:pt idx="1">
                  <c:v>MO022019</c:v>
                </c:pt>
                <c:pt idx="2">
                  <c:v>MO032019</c:v>
                </c:pt>
                <c:pt idx="3">
                  <c:v>MO042019</c:v>
                </c:pt>
                <c:pt idx="4">
                  <c:v>MO052019</c:v>
                </c:pt>
                <c:pt idx="5">
                  <c:v>MO062019</c:v>
                </c:pt>
                <c:pt idx="6">
                  <c:v>MO072019</c:v>
                </c:pt>
                <c:pt idx="7">
                  <c:v>MO082019</c:v>
                </c:pt>
                <c:pt idx="8">
                  <c:v>MO092019</c:v>
                </c:pt>
                <c:pt idx="9">
                  <c:v>MO102019</c:v>
                </c:pt>
                <c:pt idx="10">
                  <c:v>MO112019</c:v>
                </c:pt>
                <c:pt idx="11">
                  <c:v>MO122019</c:v>
                </c:pt>
                <c:pt idx="12">
                  <c:v>MO012020</c:v>
                </c:pt>
                <c:pt idx="13">
                  <c:v>MO022020</c:v>
                </c:pt>
                <c:pt idx="14">
                  <c:v>MO032020</c:v>
                </c:pt>
                <c:pt idx="15">
                  <c:v>MO042020</c:v>
                </c:pt>
                <c:pt idx="16">
                  <c:v>MO052020</c:v>
                </c:pt>
                <c:pt idx="17">
                  <c:v>MO062020</c:v>
                </c:pt>
                <c:pt idx="18">
                  <c:v>MO072020</c:v>
                </c:pt>
                <c:pt idx="19">
                  <c:v>MO082020</c:v>
                </c:pt>
                <c:pt idx="20">
                  <c:v>MO092020</c:v>
                </c:pt>
                <c:pt idx="21">
                  <c:v>MO102020</c:v>
                </c:pt>
                <c:pt idx="22">
                  <c:v>MO112020</c:v>
                </c:pt>
                <c:pt idx="23">
                  <c:v>MO122020</c:v>
                </c:pt>
                <c:pt idx="24">
                  <c:v>MO012021</c:v>
                </c:pt>
                <c:pt idx="25">
                  <c:v>MO022021</c:v>
                </c:pt>
                <c:pt idx="26">
                  <c:v>MO032021</c:v>
                </c:pt>
                <c:pt idx="27">
                  <c:v>MO042021</c:v>
                </c:pt>
                <c:pt idx="28">
                  <c:v>MO052021</c:v>
                </c:pt>
                <c:pt idx="29">
                  <c:v>MO062021</c:v>
                </c:pt>
                <c:pt idx="30">
                  <c:v>MO072021</c:v>
                </c:pt>
                <c:pt idx="31">
                  <c:v>MO082021</c:v>
                </c:pt>
                <c:pt idx="32">
                  <c:v>MO092021</c:v>
                </c:pt>
                <c:pt idx="33">
                  <c:v>MO102021</c:v>
                </c:pt>
                <c:pt idx="34">
                  <c:v>MO112021</c:v>
                </c:pt>
                <c:pt idx="35">
                  <c:v>MO122021</c:v>
                </c:pt>
                <c:pt idx="36">
                  <c:v>MO012022</c:v>
                </c:pt>
                <c:pt idx="37">
                  <c:v>MO022022</c:v>
                </c:pt>
                <c:pt idx="38">
                  <c:v>MO032022</c:v>
                </c:pt>
                <c:pt idx="39">
                  <c:v>MO042022</c:v>
                </c:pt>
                <c:pt idx="40">
                  <c:v>MO052022</c:v>
                </c:pt>
                <c:pt idx="41">
                  <c:v>MO062022</c:v>
                </c:pt>
                <c:pt idx="42">
                  <c:v>MO072022</c:v>
                </c:pt>
                <c:pt idx="43">
                  <c:v>MO082022</c:v>
                </c:pt>
                <c:pt idx="44">
                  <c:v>MO092022</c:v>
                </c:pt>
                <c:pt idx="45">
                  <c:v>MO102022</c:v>
                </c:pt>
                <c:pt idx="46">
                  <c:v>MO112022</c:v>
                </c:pt>
                <c:pt idx="47">
                  <c:v>MO122022</c:v>
                </c:pt>
                <c:pt idx="48">
                  <c:v>MO012023</c:v>
                </c:pt>
                <c:pt idx="49">
                  <c:v>MO022023</c:v>
                </c:pt>
                <c:pt idx="50">
                  <c:v>MO032023</c:v>
                </c:pt>
                <c:pt idx="51">
                  <c:v>MO042023</c:v>
                </c:pt>
                <c:pt idx="52">
                  <c:v>MO052023</c:v>
                </c:pt>
                <c:pt idx="53">
                  <c:v>MO062023</c:v>
                </c:pt>
                <c:pt idx="54">
                  <c:v>MO072023</c:v>
                </c:pt>
                <c:pt idx="55">
                  <c:v>MO082023</c:v>
                </c:pt>
                <c:pt idx="56">
                  <c:v>MO092023</c:v>
                </c:pt>
                <c:pt idx="57">
                  <c:v>MO102023</c:v>
                </c:pt>
                <c:pt idx="58">
                  <c:v>MO112023</c:v>
                </c:pt>
                <c:pt idx="59">
                  <c:v>MO122023</c:v>
                </c:pt>
                <c:pt idx="60">
                  <c:v>MO012024</c:v>
                </c:pt>
                <c:pt idx="61">
                  <c:v>MO022024</c:v>
                </c:pt>
                <c:pt idx="62">
                  <c:v>MO032024</c:v>
                </c:pt>
                <c:pt idx="63">
                  <c:v>MO042024</c:v>
                </c:pt>
                <c:pt idx="64">
                  <c:v>MO052024</c:v>
                </c:pt>
                <c:pt idx="65">
                  <c:v>MO062024</c:v>
                </c:pt>
                <c:pt idx="66">
                  <c:v>MO072024</c:v>
                </c:pt>
                <c:pt idx="67">
                  <c:v>MO082024</c:v>
                </c:pt>
                <c:pt idx="68">
                  <c:v>MO092024</c:v>
                </c:pt>
                <c:pt idx="69">
                  <c:v>MO102024</c:v>
                </c:pt>
                <c:pt idx="70">
                  <c:v>MO112024</c:v>
                </c:pt>
                <c:pt idx="71">
                  <c:v>MO122024</c:v>
                </c:pt>
                <c:pt idx="72">
                  <c:v>MO012025</c:v>
                </c:pt>
                <c:pt idx="73">
                  <c:v>MO022025</c:v>
                </c:pt>
                <c:pt idx="74">
                  <c:v>MO032025</c:v>
                </c:pt>
                <c:pt idx="75">
                  <c:v>MO042025</c:v>
                </c:pt>
                <c:pt idx="76">
                  <c:v>MO052025</c:v>
                </c:pt>
                <c:pt idx="77">
                  <c:v>MO062025</c:v>
                </c:pt>
                <c:pt idx="78">
                  <c:v>MO072025</c:v>
                </c:pt>
                <c:pt idx="79">
                  <c:v>MO082025</c:v>
                </c:pt>
              </c:strCache>
            </c:strRef>
          </c:cat>
          <c:val>
            <c:numRef>
              <c:f>'[Retail trade sales from 2002.xlsx]Sayfa1'!$J$4:$CK$4</c:f>
              <c:numCache>
                <c:formatCode>General</c:formatCode>
                <c:ptCount val="80"/>
                <c:pt idx="0">
                  <c:v>3112</c:v>
                </c:pt>
                <c:pt idx="1">
                  <c:v>3180</c:v>
                </c:pt>
                <c:pt idx="2">
                  <c:v>3225</c:v>
                </c:pt>
                <c:pt idx="3">
                  <c:v>3251</c:v>
                </c:pt>
                <c:pt idx="4">
                  <c:v>3255</c:v>
                </c:pt>
                <c:pt idx="5">
                  <c:v>3288</c:v>
                </c:pt>
                <c:pt idx="6">
                  <c:v>3272</c:v>
                </c:pt>
                <c:pt idx="7">
                  <c:v>3308</c:v>
                </c:pt>
                <c:pt idx="8">
                  <c:v>3294</c:v>
                </c:pt>
                <c:pt idx="9">
                  <c:v>3319</c:v>
                </c:pt>
                <c:pt idx="10">
                  <c:v>3355</c:v>
                </c:pt>
                <c:pt idx="11">
                  <c:v>3310</c:v>
                </c:pt>
                <c:pt idx="12">
                  <c:v>3232</c:v>
                </c:pt>
                <c:pt idx="13">
                  <c:v>3204</c:v>
                </c:pt>
                <c:pt idx="14">
                  <c:v>2819</c:v>
                </c:pt>
                <c:pt idx="15">
                  <c:v>420</c:v>
                </c:pt>
                <c:pt idx="16">
                  <c:v>2418</c:v>
                </c:pt>
                <c:pt idx="17">
                  <c:v>3876</c:v>
                </c:pt>
                <c:pt idx="18">
                  <c:v>3685</c:v>
                </c:pt>
                <c:pt idx="19">
                  <c:v>3712</c:v>
                </c:pt>
                <c:pt idx="20">
                  <c:v>3579</c:v>
                </c:pt>
                <c:pt idx="21">
                  <c:v>3604</c:v>
                </c:pt>
                <c:pt idx="22">
                  <c:v>3567</c:v>
                </c:pt>
                <c:pt idx="23">
                  <c:v>3483</c:v>
                </c:pt>
                <c:pt idx="24">
                  <c:v>3645</c:v>
                </c:pt>
                <c:pt idx="25">
                  <c:v>3694</c:v>
                </c:pt>
                <c:pt idx="26">
                  <c:v>3559</c:v>
                </c:pt>
                <c:pt idx="27">
                  <c:v>3527</c:v>
                </c:pt>
                <c:pt idx="28">
                  <c:v>3694</c:v>
                </c:pt>
                <c:pt idx="29">
                  <c:v>3605</c:v>
                </c:pt>
                <c:pt idx="30">
                  <c:v>3353</c:v>
                </c:pt>
                <c:pt idx="31">
                  <c:v>3530</c:v>
                </c:pt>
                <c:pt idx="32">
                  <c:v>3595</c:v>
                </c:pt>
                <c:pt idx="33">
                  <c:v>3580</c:v>
                </c:pt>
                <c:pt idx="34">
                  <c:v>3623</c:v>
                </c:pt>
                <c:pt idx="35">
                  <c:v>3584</c:v>
                </c:pt>
                <c:pt idx="36">
                  <c:v>3657</c:v>
                </c:pt>
                <c:pt idx="37">
                  <c:v>3732</c:v>
                </c:pt>
                <c:pt idx="38">
                  <c:v>3799</c:v>
                </c:pt>
                <c:pt idx="39">
                  <c:v>3761</c:v>
                </c:pt>
                <c:pt idx="40">
                  <c:v>3711</c:v>
                </c:pt>
                <c:pt idx="41">
                  <c:v>3656</c:v>
                </c:pt>
                <c:pt idx="42">
                  <c:v>3683</c:v>
                </c:pt>
                <c:pt idx="43">
                  <c:v>3676</c:v>
                </c:pt>
                <c:pt idx="44">
                  <c:v>3702</c:v>
                </c:pt>
                <c:pt idx="45">
                  <c:v>3675</c:v>
                </c:pt>
                <c:pt idx="46">
                  <c:v>3887</c:v>
                </c:pt>
                <c:pt idx="47">
                  <c:v>3615</c:v>
                </c:pt>
                <c:pt idx="48">
                  <c:v>3678</c:v>
                </c:pt>
                <c:pt idx="49">
                  <c:v>3741</c:v>
                </c:pt>
                <c:pt idx="50">
                  <c:v>3811</c:v>
                </c:pt>
                <c:pt idx="51">
                  <c:v>3696</c:v>
                </c:pt>
                <c:pt idx="52">
                  <c:v>3639</c:v>
                </c:pt>
                <c:pt idx="53">
                  <c:v>3700</c:v>
                </c:pt>
                <c:pt idx="54">
                  <c:v>3735</c:v>
                </c:pt>
                <c:pt idx="55">
                  <c:v>3653</c:v>
                </c:pt>
                <c:pt idx="56">
                  <c:v>3705</c:v>
                </c:pt>
                <c:pt idx="57">
                  <c:v>3479</c:v>
                </c:pt>
                <c:pt idx="58">
                  <c:v>3759</c:v>
                </c:pt>
                <c:pt idx="59">
                  <c:v>3767</c:v>
                </c:pt>
                <c:pt idx="60">
                  <c:v>3710</c:v>
                </c:pt>
                <c:pt idx="61">
                  <c:v>3785</c:v>
                </c:pt>
                <c:pt idx="62">
                  <c:v>3747</c:v>
                </c:pt>
                <c:pt idx="63">
                  <c:v>3659</c:v>
                </c:pt>
                <c:pt idx="64">
                  <c:v>3820</c:v>
                </c:pt>
                <c:pt idx="65">
                  <c:v>3929</c:v>
                </c:pt>
                <c:pt idx="66">
                  <c:v>4009</c:v>
                </c:pt>
                <c:pt idx="67">
                  <c:v>4174</c:v>
                </c:pt>
                <c:pt idx="68">
                  <c:v>4053</c:v>
                </c:pt>
                <c:pt idx="69">
                  <c:v>4093</c:v>
                </c:pt>
                <c:pt idx="70">
                  <c:v>4069</c:v>
                </c:pt>
                <c:pt idx="71">
                  <c:v>4102</c:v>
                </c:pt>
                <c:pt idx="72">
                  <c:v>4158</c:v>
                </c:pt>
                <c:pt idx="73">
                  <c:v>4103</c:v>
                </c:pt>
                <c:pt idx="74">
                  <c:v>4076</c:v>
                </c:pt>
                <c:pt idx="75">
                  <c:v>4184</c:v>
                </c:pt>
                <c:pt idx="76">
                  <c:v>4204</c:v>
                </c:pt>
                <c:pt idx="77">
                  <c:v>4162</c:v>
                </c:pt>
                <c:pt idx="78">
                  <c:v>4177</c:v>
                </c:pt>
                <c:pt idx="79">
                  <c:v>4242</c:v>
                </c:pt>
              </c:numCache>
            </c:numRef>
          </c:val>
          <c:smooth val="0"/>
          <c:extLst>
            <c:ext xmlns:c16="http://schemas.microsoft.com/office/drawing/2014/chart" uri="{C3380CC4-5D6E-409C-BE32-E72D297353CC}">
              <c16:uniqueId val="{00000000-6B00-4428-B70B-EE878467A92D}"/>
            </c:ext>
          </c:extLst>
        </c:ser>
        <c:dLbls>
          <c:showLegendKey val="0"/>
          <c:showVal val="0"/>
          <c:showCatName val="0"/>
          <c:showSerName val="0"/>
          <c:showPercent val="0"/>
          <c:showBubbleSize val="0"/>
        </c:dLbls>
        <c:smooth val="0"/>
        <c:axId val="51882463"/>
        <c:axId val="51884543"/>
      </c:lineChart>
      <c:catAx>
        <c:axId val="51882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84543"/>
        <c:crosses val="autoZero"/>
        <c:auto val="1"/>
        <c:lblAlgn val="ctr"/>
        <c:lblOffset val="100"/>
        <c:noMultiLvlLbl val="0"/>
      </c:catAx>
      <c:valAx>
        <c:axId val="518845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82463"/>
        <c:crosses val="autoZero"/>
        <c:crossBetween val="between"/>
      </c:valAx>
      <c:spPr>
        <a:noFill/>
        <a:ln>
          <a:noFill/>
        </a:ln>
        <a:effectLst/>
      </c:spPr>
    </c:plotArea>
    <c:plotVisOnly val="1"/>
    <c:dispBlanksAs val="gap"/>
    <c:showDLblsOverMax val="0"/>
  </c:chart>
  <c:spPr>
    <a:solidFill>
      <a:schemeClr val="bg1"/>
    </a:solidFill>
    <a:ln w="12700"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'[Excel table from 1998.xlsx]Sayfa3'!$A$14:$H$14</c:f>
              <c:strCache>
                <c:ptCount val="8"/>
                <c:pt idx="0">
                  <c:v>P3041.2</c:v>
                </c:pt>
                <c:pt idx="1">
                  <c:v>MSS39100</c:v>
                </c:pt>
                <c:pt idx="2">
                  <c:v>VALUE OF SALES</c:v>
                </c:pt>
                <c:pt idx="3">
                  <c:v>Furniture</c:v>
                </c:pt>
                <c:pt idx="4">
                  <c:v>Seasonally adjusted</c:v>
                </c:pt>
                <c:pt idx="5">
                  <c:v>R1000</c:v>
                </c:pt>
                <c:pt idx="7">
                  <c:v>Monthly</c:v>
                </c:pt>
              </c:strCache>
            </c:strRef>
          </c:tx>
          <c:spPr>
            <a:ln w="28575" cap="rnd">
              <a:solidFill>
                <a:schemeClr val="accent1"/>
              </a:solidFill>
              <a:round/>
            </a:ln>
            <a:effectLst/>
          </c:spPr>
          <c:marker>
            <c:symbol val="none"/>
          </c:marker>
          <c:cat>
            <c:strRef>
              <c:f>'[Excel table from 1998.xlsx]Sayfa3'!$I$13:$CJ$13</c:f>
              <c:strCache>
                <c:ptCount val="80"/>
                <c:pt idx="0">
                  <c:v>MO012019</c:v>
                </c:pt>
                <c:pt idx="1">
                  <c:v>MO022019</c:v>
                </c:pt>
                <c:pt idx="2">
                  <c:v>MO032019</c:v>
                </c:pt>
                <c:pt idx="3">
                  <c:v>MO042019</c:v>
                </c:pt>
                <c:pt idx="4">
                  <c:v>MO052019</c:v>
                </c:pt>
                <c:pt idx="5">
                  <c:v>MO062019</c:v>
                </c:pt>
                <c:pt idx="6">
                  <c:v>MO072019</c:v>
                </c:pt>
                <c:pt idx="7">
                  <c:v>MO082019</c:v>
                </c:pt>
                <c:pt idx="8">
                  <c:v>MO092019</c:v>
                </c:pt>
                <c:pt idx="9">
                  <c:v>MO102019</c:v>
                </c:pt>
                <c:pt idx="10">
                  <c:v>MO112019</c:v>
                </c:pt>
                <c:pt idx="11">
                  <c:v>MO122019</c:v>
                </c:pt>
                <c:pt idx="12">
                  <c:v>MO012020</c:v>
                </c:pt>
                <c:pt idx="13">
                  <c:v>MO022020</c:v>
                </c:pt>
                <c:pt idx="14">
                  <c:v>MO032020</c:v>
                </c:pt>
                <c:pt idx="15">
                  <c:v>MO042020</c:v>
                </c:pt>
                <c:pt idx="16">
                  <c:v>MO052020</c:v>
                </c:pt>
                <c:pt idx="17">
                  <c:v>MO062020</c:v>
                </c:pt>
                <c:pt idx="18">
                  <c:v>MO072020</c:v>
                </c:pt>
                <c:pt idx="19">
                  <c:v>MO082020</c:v>
                </c:pt>
                <c:pt idx="20">
                  <c:v>MO092020</c:v>
                </c:pt>
                <c:pt idx="21">
                  <c:v>MO102020</c:v>
                </c:pt>
                <c:pt idx="22">
                  <c:v>MO112020</c:v>
                </c:pt>
                <c:pt idx="23">
                  <c:v>MO122020</c:v>
                </c:pt>
                <c:pt idx="24">
                  <c:v>MO012021</c:v>
                </c:pt>
                <c:pt idx="25">
                  <c:v>MO022021</c:v>
                </c:pt>
                <c:pt idx="26">
                  <c:v>MO032021</c:v>
                </c:pt>
                <c:pt idx="27">
                  <c:v>MO042021</c:v>
                </c:pt>
                <c:pt idx="28">
                  <c:v>MO052021</c:v>
                </c:pt>
                <c:pt idx="29">
                  <c:v>MO062021</c:v>
                </c:pt>
                <c:pt idx="30">
                  <c:v>MO072021</c:v>
                </c:pt>
                <c:pt idx="31">
                  <c:v>MO082021</c:v>
                </c:pt>
                <c:pt idx="32">
                  <c:v>MO092021</c:v>
                </c:pt>
                <c:pt idx="33">
                  <c:v>MO102021</c:v>
                </c:pt>
                <c:pt idx="34">
                  <c:v>MO112021</c:v>
                </c:pt>
                <c:pt idx="35">
                  <c:v>MO122021</c:v>
                </c:pt>
                <c:pt idx="36">
                  <c:v>MO012022</c:v>
                </c:pt>
                <c:pt idx="37">
                  <c:v>MO022022</c:v>
                </c:pt>
                <c:pt idx="38">
                  <c:v>MO032022</c:v>
                </c:pt>
                <c:pt idx="39">
                  <c:v>MO042022</c:v>
                </c:pt>
                <c:pt idx="40">
                  <c:v>MO052022</c:v>
                </c:pt>
                <c:pt idx="41">
                  <c:v>MO062022</c:v>
                </c:pt>
                <c:pt idx="42">
                  <c:v>MO072022</c:v>
                </c:pt>
                <c:pt idx="43">
                  <c:v>MO082022</c:v>
                </c:pt>
                <c:pt idx="44">
                  <c:v>MO092022</c:v>
                </c:pt>
                <c:pt idx="45">
                  <c:v>MO102022</c:v>
                </c:pt>
                <c:pt idx="46">
                  <c:v>MO112022</c:v>
                </c:pt>
                <c:pt idx="47">
                  <c:v>MO122022</c:v>
                </c:pt>
                <c:pt idx="48">
                  <c:v>MO012023</c:v>
                </c:pt>
                <c:pt idx="49">
                  <c:v>MO022023</c:v>
                </c:pt>
                <c:pt idx="50">
                  <c:v>MO032023</c:v>
                </c:pt>
                <c:pt idx="51">
                  <c:v>MO042023</c:v>
                </c:pt>
                <c:pt idx="52">
                  <c:v>MO052023</c:v>
                </c:pt>
                <c:pt idx="53">
                  <c:v>MO062023</c:v>
                </c:pt>
                <c:pt idx="54">
                  <c:v>MO072023</c:v>
                </c:pt>
                <c:pt idx="55">
                  <c:v>MO082023</c:v>
                </c:pt>
                <c:pt idx="56">
                  <c:v>MO092023</c:v>
                </c:pt>
                <c:pt idx="57">
                  <c:v>MO102023</c:v>
                </c:pt>
                <c:pt idx="58">
                  <c:v>MO112023</c:v>
                </c:pt>
                <c:pt idx="59">
                  <c:v>MO122023</c:v>
                </c:pt>
                <c:pt idx="60">
                  <c:v>MO012024</c:v>
                </c:pt>
                <c:pt idx="61">
                  <c:v>MO022024</c:v>
                </c:pt>
                <c:pt idx="62">
                  <c:v>MO032024</c:v>
                </c:pt>
                <c:pt idx="63">
                  <c:v>MO042024</c:v>
                </c:pt>
                <c:pt idx="64">
                  <c:v>MO052024</c:v>
                </c:pt>
                <c:pt idx="65">
                  <c:v>MO062024</c:v>
                </c:pt>
                <c:pt idx="66">
                  <c:v>MO072024</c:v>
                </c:pt>
                <c:pt idx="67">
                  <c:v>MO082024</c:v>
                </c:pt>
                <c:pt idx="68">
                  <c:v>MO092024</c:v>
                </c:pt>
                <c:pt idx="69">
                  <c:v>MO102024</c:v>
                </c:pt>
                <c:pt idx="70">
                  <c:v>MO112024</c:v>
                </c:pt>
                <c:pt idx="71">
                  <c:v>MO122024</c:v>
                </c:pt>
                <c:pt idx="72">
                  <c:v>MO012025</c:v>
                </c:pt>
                <c:pt idx="73">
                  <c:v>MO022025</c:v>
                </c:pt>
                <c:pt idx="74">
                  <c:v>MO032025</c:v>
                </c:pt>
                <c:pt idx="75">
                  <c:v>MO042025</c:v>
                </c:pt>
                <c:pt idx="76">
                  <c:v>MO052025</c:v>
                </c:pt>
                <c:pt idx="77">
                  <c:v>MO062025</c:v>
                </c:pt>
                <c:pt idx="78">
                  <c:v>MO072025</c:v>
                </c:pt>
                <c:pt idx="79">
                  <c:v>MO082025</c:v>
                </c:pt>
              </c:strCache>
            </c:strRef>
          </c:cat>
          <c:val>
            <c:numRef>
              <c:f>'[Excel table from 1998.xlsx]Sayfa3'!$I$14:$CJ$14</c:f>
              <c:numCache>
                <c:formatCode>General</c:formatCode>
                <c:ptCount val="80"/>
                <c:pt idx="0">
                  <c:v>1341925</c:v>
                </c:pt>
                <c:pt idx="1">
                  <c:v>1379601</c:v>
                </c:pt>
                <c:pt idx="2">
                  <c:v>1343187</c:v>
                </c:pt>
                <c:pt idx="3">
                  <c:v>1432213</c:v>
                </c:pt>
                <c:pt idx="4">
                  <c:v>1382319</c:v>
                </c:pt>
                <c:pt idx="5">
                  <c:v>1328881</c:v>
                </c:pt>
                <c:pt idx="6">
                  <c:v>1354291</c:v>
                </c:pt>
                <c:pt idx="7">
                  <c:v>1356755</c:v>
                </c:pt>
                <c:pt idx="8">
                  <c:v>1275771</c:v>
                </c:pt>
                <c:pt idx="9">
                  <c:v>1401697</c:v>
                </c:pt>
                <c:pt idx="10">
                  <c:v>1321989</c:v>
                </c:pt>
                <c:pt idx="11">
                  <c:v>1297898</c:v>
                </c:pt>
                <c:pt idx="12">
                  <c:v>1312000</c:v>
                </c:pt>
                <c:pt idx="13">
                  <c:v>1333999</c:v>
                </c:pt>
                <c:pt idx="14">
                  <c:v>1252058</c:v>
                </c:pt>
                <c:pt idx="15">
                  <c:v>150784</c:v>
                </c:pt>
                <c:pt idx="16">
                  <c:v>345326</c:v>
                </c:pt>
                <c:pt idx="17">
                  <c:v>694432</c:v>
                </c:pt>
                <c:pt idx="18">
                  <c:v>852435</c:v>
                </c:pt>
                <c:pt idx="19">
                  <c:v>1053124</c:v>
                </c:pt>
                <c:pt idx="20">
                  <c:v>1197445</c:v>
                </c:pt>
                <c:pt idx="21">
                  <c:v>1278131</c:v>
                </c:pt>
                <c:pt idx="22">
                  <c:v>1226424</c:v>
                </c:pt>
                <c:pt idx="23">
                  <c:v>1206170</c:v>
                </c:pt>
                <c:pt idx="24">
                  <c:v>1162453</c:v>
                </c:pt>
                <c:pt idx="25">
                  <c:v>1206314</c:v>
                </c:pt>
                <c:pt idx="26">
                  <c:v>1204586</c:v>
                </c:pt>
                <c:pt idx="27">
                  <c:v>1091617</c:v>
                </c:pt>
                <c:pt idx="28">
                  <c:v>1172969</c:v>
                </c:pt>
                <c:pt idx="29">
                  <c:v>1116998</c:v>
                </c:pt>
                <c:pt idx="30">
                  <c:v>1200477</c:v>
                </c:pt>
                <c:pt idx="31">
                  <c:v>1346995</c:v>
                </c:pt>
                <c:pt idx="32">
                  <c:v>1415166</c:v>
                </c:pt>
                <c:pt idx="33">
                  <c:v>1348082</c:v>
                </c:pt>
                <c:pt idx="34">
                  <c:v>1453051</c:v>
                </c:pt>
                <c:pt idx="35">
                  <c:v>1615026</c:v>
                </c:pt>
                <c:pt idx="36">
                  <c:v>1557596</c:v>
                </c:pt>
                <c:pt idx="37">
                  <c:v>1394896</c:v>
                </c:pt>
                <c:pt idx="38">
                  <c:v>1423849</c:v>
                </c:pt>
                <c:pt idx="39">
                  <c:v>1335436</c:v>
                </c:pt>
                <c:pt idx="40">
                  <c:v>1369365</c:v>
                </c:pt>
                <c:pt idx="41">
                  <c:v>1334088</c:v>
                </c:pt>
                <c:pt idx="42">
                  <c:v>1279996</c:v>
                </c:pt>
                <c:pt idx="43">
                  <c:v>1286511</c:v>
                </c:pt>
                <c:pt idx="44">
                  <c:v>1275618</c:v>
                </c:pt>
                <c:pt idx="45">
                  <c:v>1178911</c:v>
                </c:pt>
                <c:pt idx="46">
                  <c:v>1216527</c:v>
                </c:pt>
                <c:pt idx="47">
                  <c:v>1270103</c:v>
                </c:pt>
                <c:pt idx="48">
                  <c:v>1632165</c:v>
                </c:pt>
                <c:pt idx="49">
                  <c:v>1482963</c:v>
                </c:pt>
                <c:pt idx="50">
                  <c:v>1630655</c:v>
                </c:pt>
                <c:pt idx="51">
                  <c:v>1631263</c:v>
                </c:pt>
                <c:pt idx="52">
                  <c:v>1525696</c:v>
                </c:pt>
                <c:pt idx="53">
                  <c:v>1541136</c:v>
                </c:pt>
                <c:pt idx="54">
                  <c:v>1519792</c:v>
                </c:pt>
                <c:pt idx="55">
                  <c:v>1581360</c:v>
                </c:pt>
                <c:pt idx="56">
                  <c:v>1606615</c:v>
                </c:pt>
                <c:pt idx="57">
                  <c:v>1614207</c:v>
                </c:pt>
                <c:pt idx="58">
                  <c:v>1592754</c:v>
                </c:pt>
                <c:pt idx="59">
                  <c:v>1633158</c:v>
                </c:pt>
                <c:pt idx="60">
                  <c:v>1711983</c:v>
                </c:pt>
                <c:pt idx="61">
                  <c:v>1633968</c:v>
                </c:pt>
                <c:pt idx="62">
                  <c:v>1555686</c:v>
                </c:pt>
                <c:pt idx="63">
                  <c:v>1654037</c:v>
                </c:pt>
                <c:pt idx="64">
                  <c:v>1623168</c:v>
                </c:pt>
                <c:pt idx="65">
                  <c:v>1638060</c:v>
                </c:pt>
                <c:pt idx="66">
                  <c:v>1633056</c:v>
                </c:pt>
                <c:pt idx="67">
                  <c:v>1661416</c:v>
                </c:pt>
                <c:pt idx="68">
                  <c:v>1600733</c:v>
                </c:pt>
                <c:pt idx="69">
                  <c:v>1617658</c:v>
                </c:pt>
                <c:pt idx="70">
                  <c:v>1586975</c:v>
                </c:pt>
                <c:pt idx="71">
                  <c:v>1664006</c:v>
                </c:pt>
                <c:pt idx="72">
                  <c:v>1677123</c:v>
                </c:pt>
                <c:pt idx="73">
                  <c:v>1674069</c:v>
                </c:pt>
                <c:pt idx="74">
                  <c:v>1724394</c:v>
                </c:pt>
                <c:pt idx="75">
                  <c:v>1763609</c:v>
                </c:pt>
                <c:pt idx="76">
                  <c:v>1781331</c:v>
                </c:pt>
                <c:pt idx="77">
                  <c:v>1832054</c:v>
                </c:pt>
                <c:pt idx="78">
                  <c:v>1840996</c:v>
                </c:pt>
                <c:pt idx="79">
                  <c:v>1786648</c:v>
                </c:pt>
              </c:numCache>
            </c:numRef>
          </c:val>
          <c:smooth val="0"/>
          <c:extLst>
            <c:ext xmlns:c16="http://schemas.microsoft.com/office/drawing/2014/chart" uri="{C3380CC4-5D6E-409C-BE32-E72D297353CC}">
              <c16:uniqueId val="{00000000-14AC-4761-B3D0-E36EC41E0CA8}"/>
            </c:ext>
          </c:extLst>
        </c:ser>
        <c:dLbls>
          <c:showLegendKey val="0"/>
          <c:showVal val="0"/>
          <c:showCatName val="0"/>
          <c:showSerName val="0"/>
          <c:showPercent val="0"/>
          <c:showBubbleSize val="0"/>
        </c:dLbls>
        <c:smooth val="0"/>
        <c:axId val="1504849471"/>
        <c:axId val="1504857375"/>
      </c:lineChart>
      <c:catAx>
        <c:axId val="1504849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4857375"/>
        <c:crosses val="autoZero"/>
        <c:auto val="1"/>
        <c:lblAlgn val="ctr"/>
        <c:lblOffset val="100"/>
        <c:noMultiLvlLbl val="0"/>
      </c:catAx>
      <c:valAx>
        <c:axId val="15048573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048494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'[Excel table from 1998.xlsx]Sayfa2'!$A$11:$G$11</c:f>
              <c:strCache>
                <c:ptCount val="7"/>
                <c:pt idx="0">
                  <c:v>P3041.2</c:v>
                </c:pt>
                <c:pt idx="1">
                  <c:v>MPS39100</c:v>
                </c:pt>
                <c:pt idx="2">
                  <c:v>INDICES OF PHYSICAL VOLUME PRODUCTION</c:v>
                </c:pt>
                <c:pt idx="3">
                  <c:v>Furniture</c:v>
                </c:pt>
                <c:pt idx="4">
                  <c:v>Seasonally adjusted</c:v>
                </c:pt>
                <c:pt idx="5">
                  <c:v>Index</c:v>
                </c:pt>
                <c:pt idx="6">
                  <c:v>2019=100</c:v>
                </c:pt>
              </c:strCache>
            </c:strRef>
          </c:tx>
          <c:spPr>
            <a:ln w="28575" cap="rnd">
              <a:solidFill>
                <a:schemeClr val="accent1"/>
              </a:solidFill>
              <a:round/>
            </a:ln>
            <a:effectLst/>
          </c:spPr>
          <c:marker>
            <c:symbol val="none"/>
          </c:marker>
          <c:cat>
            <c:strRef>
              <c:f>'[Excel table from 1998.xlsx]Sayfa2'!$H$10:$CI$10</c:f>
              <c:strCache>
                <c:ptCount val="80"/>
                <c:pt idx="0">
                  <c:v>MO012019</c:v>
                </c:pt>
                <c:pt idx="1">
                  <c:v>MO022019</c:v>
                </c:pt>
                <c:pt idx="2">
                  <c:v>MO032019</c:v>
                </c:pt>
                <c:pt idx="3">
                  <c:v>MO042019</c:v>
                </c:pt>
                <c:pt idx="4">
                  <c:v>MO052019</c:v>
                </c:pt>
                <c:pt idx="5">
                  <c:v>MO062019</c:v>
                </c:pt>
                <c:pt idx="6">
                  <c:v>MO072019</c:v>
                </c:pt>
                <c:pt idx="7">
                  <c:v>MO082019</c:v>
                </c:pt>
                <c:pt idx="8">
                  <c:v>MO092019</c:v>
                </c:pt>
                <c:pt idx="9">
                  <c:v>MO102019</c:v>
                </c:pt>
                <c:pt idx="10">
                  <c:v>MO112019</c:v>
                </c:pt>
                <c:pt idx="11">
                  <c:v>MO122019</c:v>
                </c:pt>
                <c:pt idx="12">
                  <c:v>MO012020</c:v>
                </c:pt>
                <c:pt idx="13">
                  <c:v>MO022020</c:v>
                </c:pt>
                <c:pt idx="14">
                  <c:v>MO032020</c:v>
                </c:pt>
                <c:pt idx="15">
                  <c:v>MO042020</c:v>
                </c:pt>
                <c:pt idx="16">
                  <c:v>MO052020</c:v>
                </c:pt>
                <c:pt idx="17">
                  <c:v>MO062020</c:v>
                </c:pt>
                <c:pt idx="18">
                  <c:v>MO072020</c:v>
                </c:pt>
                <c:pt idx="19">
                  <c:v>MO082020</c:v>
                </c:pt>
                <c:pt idx="20">
                  <c:v>MO092020</c:v>
                </c:pt>
                <c:pt idx="21">
                  <c:v>MO102020</c:v>
                </c:pt>
                <c:pt idx="22">
                  <c:v>MO112020</c:v>
                </c:pt>
                <c:pt idx="23">
                  <c:v>MO122020</c:v>
                </c:pt>
                <c:pt idx="24">
                  <c:v>MO012021</c:v>
                </c:pt>
                <c:pt idx="25">
                  <c:v>MO022021</c:v>
                </c:pt>
                <c:pt idx="26">
                  <c:v>MO032021</c:v>
                </c:pt>
                <c:pt idx="27">
                  <c:v>MO042021</c:v>
                </c:pt>
                <c:pt idx="28">
                  <c:v>MO052021</c:v>
                </c:pt>
                <c:pt idx="29">
                  <c:v>MO062021</c:v>
                </c:pt>
                <c:pt idx="30">
                  <c:v>MO072021</c:v>
                </c:pt>
                <c:pt idx="31">
                  <c:v>MO082021</c:v>
                </c:pt>
                <c:pt idx="32">
                  <c:v>MO092021</c:v>
                </c:pt>
                <c:pt idx="33">
                  <c:v>MO102021</c:v>
                </c:pt>
                <c:pt idx="34">
                  <c:v>MO112021</c:v>
                </c:pt>
                <c:pt idx="35">
                  <c:v>MO122021</c:v>
                </c:pt>
                <c:pt idx="36">
                  <c:v>MO012022</c:v>
                </c:pt>
                <c:pt idx="37">
                  <c:v>MO022022</c:v>
                </c:pt>
                <c:pt idx="38">
                  <c:v>MO032022</c:v>
                </c:pt>
                <c:pt idx="39">
                  <c:v>MO042022</c:v>
                </c:pt>
                <c:pt idx="40">
                  <c:v>MO052022</c:v>
                </c:pt>
                <c:pt idx="41">
                  <c:v>MO062022</c:v>
                </c:pt>
                <c:pt idx="42">
                  <c:v>MO072022</c:v>
                </c:pt>
                <c:pt idx="43">
                  <c:v>MO082022</c:v>
                </c:pt>
                <c:pt idx="44">
                  <c:v>MO092022</c:v>
                </c:pt>
                <c:pt idx="45">
                  <c:v>MO102022</c:v>
                </c:pt>
                <c:pt idx="46">
                  <c:v>MO112022</c:v>
                </c:pt>
                <c:pt idx="47">
                  <c:v>MO122022</c:v>
                </c:pt>
                <c:pt idx="48">
                  <c:v>MO012023</c:v>
                </c:pt>
                <c:pt idx="49">
                  <c:v>MO022023</c:v>
                </c:pt>
                <c:pt idx="50">
                  <c:v>MO032023</c:v>
                </c:pt>
                <c:pt idx="51">
                  <c:v>MO042023</c:v>
                </c:pt>
                <c:pt idx="52">
                  <c:v>MO052023</c:v>
                </c:pt>
                <c:pt idx="53">
                  <c:v>MO062023</c:v>
                </c:pt>
                <c:pt idx="54">
                  <c:v>MO072023</c:v>
                </c:pt>
                <c:pt idx="55">
                  <c:v>MO082023</c:v>
                </c:pt>
                <c:pt idx="56">
                  <c:v>MO092023</c:v>
                </c:pt>
                <c:pt idx="57">
                  <c:v>MO102023</c:v>
                </c:pt>
                <c:pt idx="58">
                  <c:v>MO112023</c:v>
                </c:pt>
                <c:pt idx="59">
                  <c:v>MO122023</c:v>
                </c:pt>
                <c:pt idx="60">
                  <c:v>MO012024</c:v>
                </c:pt>
                <c:pt idx="61">
                  <c:v>MO022024</c:v>
                </c:pt>
                <c:pt idx="62">
                  <c:v>MO032024</c:v>
                </c:pt>
                <c:pt idx="63">
                  <c:v>MO042024</c:v>
                </c:pt>
                <c:pt idx="64">
                  <c:v>MO052024</c:v>
                </c:pt>
                <c:pt idx="65">
                  <c:v>MO062024</c:v>
                </c:pt>
                <c:pt idx="66">
                  <c:v>MO072024</c:v>
                </c:pt>
                <c:pt idx="67">
                  <c:v>MO082024</c:v>
                </c:pt>
                <c:pt idx="68">
                  <c:v>MO092024</c:v>
                </c:pt>
                <c:pt idx="69">
                  <c:v>MO102024</c:v>
                </c:pt>
                <c:pt idx="70">
                  <c:v>MO112024</c:v>
                </c:pt>
                <c:pt idx="71">
                  <c:v>MO122024</c:v>
                </c:pt>
                <c:pt idx="72">
                  <c:v>MO012025</c:v>
                </c:pt>
                <c:pt idx="73">
                  <c:v>MO022025</c:v>
                </c:pt>
                <c:pt idx="74">
                  <c:v>MO032025</c:v>
                </c:pt>
                <c:pt idx="75">
                  <c:v>MO042025</c:v>
                </c:pt>
                <c:pt idx="76">
                  <c:v>MO052025</c:v>
                </c:pt>
                <c:pt idx="77">
                  <c:v>MO062025</c:v>
                </c:pt>
                <c:pt idx="78">
                  <c:v>MO072025</c:v>
                </c:pt>
                <c:pt idx="79">
                  <c:v>MO082025</c:v>
                </c:pt>
              </c:strCache>
            </c:strRef>
          </c:cat>
          <c:val>
            <c:numRef>
              <c:f>'[Excel table from 1998.xlsx]Sayfa2'!$H$11:$CI$11</c:f>
              <c:numCache>
                <c:formatCode>General</c:formatCode>
                <c:ptCount val="80"/>
                <c:pt idx="0">
                  <c:v>100.8</c:v>
                </c:pt>
                <c:pt idx="1">
                  <c:v>105.7</c:v>
                </c:pt>
                <c:pt idx="2">
                  <c:v>101.1</c:v>
                </c:pt>
                <c:pt idx="3">
                  <c:v>107.3</c:v>
                </c:pt>
                <c:pt idx="4">
                  <c:v>107.3</c:v>
                </c:pt>
                <c:pt idx="5">
                  <c:v>99</c:v>
                </c:pt>
                <c:pt idx="6">
                  <c:v>99.7</c:v>
                </c:pt>
                <c:pt idx="7">
                  <c:v>98</c:v>
                </c:pt>
                <c:pt idx="8">
                  <c:v>93.3</c:v>
                </c:pt>
                <c:pt idx="9">
                  <c:v>100.5</c:v>
                </c:pt>
                <c:pt idx="10">
                  <c:v>96.1</c:v>
                </c:pt>
                <c:pt idx="11">
                  <c:v>94.5</c:v>
                </c:pt>
                <c:pt idx="12">
                  <c:v>95.6</c:v>
                </c:pt>
                <c:pt idx="13">
                  <c:v>97.9</c:v>
                </c:pt>
                <c:pt idx="14">
                  <c:v>94.6</c:v>
                </c:pt>
                <c:pt idx="15">
                  <c:v>11.9</c:v>
                </c:pt>
                <c:pt idx="16">
                  <c:v>24.7</c:v>
                </c:pt>
                <c:pt idx="17">
                  <c:v>51.8</c:v>
                </c:pt>
                <c:pt idx="18">
                  <c:v>66.099999999999994</c:v>
                </c:pt>
                <c:pt idx="19">
                  <c:v>92.3</c:v>
                </c:pt>
                <c:pt idx="20">
                  <c:v>91.3</c:v>
                </c:pt>
                <c:pt idx="21">
                  <c:v>93.6</c:v>
                </c:pt>
                <c:pt idx="22">
                  <c:v>90.7</c:v>
                </c:pt>
                <c:pt idx="23">
                  <c:v>85.6</c:v>
                </c:pt>
                <c:pt idx="24">
                  <c:v>89.3</c:v>
                </c:pt>
                <c:pt idx="25">
                  <c:v>86.4</c:v>
                </c:pt>
                <c:pt idx="26">
                  <c:v>86.3</c:v>
                </c:pt>
                <c:pt idx="27">
                  <c:v>81.5</c:v>
                </c:pt>
                <c:pt idx="28">
                  <c:v>87.9</c:v>
                </c:pt>
                <c:pt idx="29">
                  <c:v>80.5</c:v>
                </c:pt>
                <c:pt idx="30">
                  <c:v>87.8</c:v>
                </c:pt>
                <c:pt idx="31">
                  <c:v>97.7</c:v>
                </c:pt>
                <c:pt idx="32">
                  <c:v>103.3</c:v>
                </c:pt>
                <c:pt idx="33">
                  <c:v>92</c:v>
                </c:pt>
                <c:pt idx="34">
                  <c:v>95.3</c:v>
                </c:pt>
                <c:pt idx="35">
                  <c:v>106.4</c:v>
                </c:pt>
                <c:pt idx="36">
                  <c:v>97.7</c:v>
                </c:pt>
                <c:pt idx="37">
                  <c:v>93.1</c:v>
                </c:pt>
                <c:pt idx="38">
                  <c:v>93.3</c:v>
                </c:pt>
                <c:pt idx="39">
                  <c:v>88.6</c:v>
                </c:pt>
                <c:pt idx="40">
                  <c:v>89.6</c:v>
                </c:pt>
                <c:pt idx="41">
                  <c:v>88.6</c:v>
                </c:pt>
                <c:pt idx="42">
                  <c:v>86.7</c:v>
                </c:pt>
                <c:pt idx="43">
                  <c:v>83.2</c:v>
                </c:pt>
                <c:pt idx="44">
                  <c:v>82.5</c:v>
                </c:pt>
                <c:pt idx="45">
                  <c:v>84.5</c:v>
                </c:pt>
                <c:pt idx="46">
                  <c:v>91.2</c:v>
                </c:pt>
                <c:pt idx="47">
                  <c:v>99.9</c:v>
                </c:pt>
                <c:pt idx="48">
                  <c:v>93.4</c:v>
                </c:pt>
                <c:pt idx="49">
                  <c:v>89.7</c:v>
                </c:pt>
                <c:pt idx="50">
                  <c:v>100.2</c:v>
                </c:pt>
                <c:pt idx="51">
                  <c:v>95.1</c:v>
                </c:pt>
                <c:pt idx="52">
                  <c:v>89.5</c:v>
                </c:pt>
                <c:pt idx="53">
                  <c:v>90.7</c:v>
                </c:pt>
                <c:pt idx="54">
                  <c:v>92.7</c:v>
                </c:pt>
                <c:pt idx="55">
                  <c:v>91.5</c:v>
                </c:pt>
                <c:pt idx="56">
                  <c:v>94.2</c:v>
                </c:pt>
                <c:pt idx="57">
                  <c:v>96</c:v>
                </c:pt>
                <c:pt idx="58">
                  <c:v>92.8</c:v>
                </c:pt>
                <c:pt idx="59">
                  <c:v>98</c:v>
                </c:pt>
                <c:pt idx="60">
                  <c:v>94.1</c:v>
                </c:pt>
                <c:pt idx="61">
                  <c:v>94.3</c:v>
                </c:pt>
                <c:pt idx="62">
                  <c:v>92.9</c:v>
                </c:pt>
                <c:pt idx="63">
                  <c:v>99.2</c:v>
                </c:pt>
                <c:pt idx="64">
                  <c:v>92.7</c:v>
                </c:pt>
                <c:pt idx="65">
                  <c:v>97.2</c:v>
                </c:pt>
                <c:pt idx="66">
                  <c:v>94.8</c:v>
                </c:pt>
                <c:pt idx="67">
                  <c:v>93</c:v>
                </c:pt>
                <c:pt idx="68">
                  <c:v>98</c:v>
                </c:pt>
                <c:pt idx="69">
                  <c:v>90.8</c:v>
                </c:pt>
                <c:pt idx="70">
                  <c:v>89.4</c:v>
                </c:pt>
                <c:pt idx="71">
                  <c:v>90.4</c:v>
                </c:pt>
                <c:pt idx="72">
                  <c:v>94.5</c:v>
                </c:pt>
                <c:pt idx="73">
                  <c:v>92.1</c:v>
                </c:pt>
                <c:pt idx="74">
                  <c:v>92</c:v>
                </c:pt>
                <c:pt idx="75">
                  <c:v>93.4</c:v>
                </c:pt>
                <c:pt idx="76">
                  <c:v>99.7</c:v>
                </c:pt>
                <c:pt idx="77">
                  <c:v>96.9</c:v>
                </c:pt>
                <c:pt idx="78">
                  <c:v>99.3</c:v>
                </c:pt>
                <c:pt idx="79">
                  <c:v>99.1</c:v>
                </c:pt>
              </c:numCache>
            </c:numRef>
          </c:val>
          <c:smooth val="0"/>
          <c:extLst>
            <c:ext xmlns:c16="http://schemas.microsoft.com/office/drawing/2014/chart" uri="{C3380CC4-5D6E-409C-BE32-E72D297353CC}">
              <c16:uniqueId val="{00000000-0FBB-4E83-A74A-C9877FFAC418}"/>
            </c:ext>
          </c:extLst>
        </c:ser>
        <c:dLbls>
          <c:showLegendKey val="0"/>
          <c:showVal val="0"/>
          <c:showCatName val="0"/>
          <c:showSerName val="0"/>
          <c:showPercent val="0"/>
          <c:showBubbleSize val="0"/>
        </c:dLbls>
        <c:smooth val="0"/>
        <c:axId val="1510180383"/>
        <c:axId val="1510181215"/>
      </c:lineChart>
      <c:catAx>
        <c:axId val="15101803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181215"/>
        <c:crosses val="autoZero"/>
        <c:auto val="1"/>
        <c:lblAlgn val="ctr"/>
        <c:lblOffset val="100"/>
        <c:noMultiLvlLbl val="0"/>
      </c:catAx>
      <c:valAx>
        <c:axId val="15101812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01803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Türkiye'den Güney Afrika'ya Mobilya İhracatı (1000 USD)</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2947005219853135E-2"/>
          <c:y val="7.7632898696088262E-2"/>
          <c:w val="0.87615411837565249"/>
          <c:h val="0.56306331818853639"/>
        </c:manualLayout>
      </c:layout>
      <c:lineChart>
        <c:grouping val="standard"/>
        <c:varyColors val="0"/>
        <c:ser>
          <c:idx val="0"/>
          <c:order val="0"/>
          <c:tx>
            <c:strRef>
              <c:f>Sayfa1!$B$5</c:f>
              <c:strCache>
                <c:ptCount val="1"/>
                <c:pt idx="0">
                  <c:v>Prefabricated buildings, whether or not complete or already assembled</c:v>
                </c:pt>
              </c:strCache>
            </c:strRef>
          </c:tx>
          <c:spPr>
            <a:ln w="28575" cap="rnd">
              <a:solidFill>
                <a:schemeClr val="accent1"/>
              </a:solidFill>
              <a:round/>
            </a:ln>
            <a:effectLst/>
          </c:spPr>
          <c:marker>
            <c:symbol val="none"/>
          </c:marker>
          <c:cat>
            <c:multiLvlStrRef>
              <c:f>Sayfa1!$C$3:$J$4</c:f>
              <c:multiLvlStrCache>
                <c:ptCount val="8"/>
                <c:lvl>
                  <c:pt idx="0">
                    <c:v>Value in 2017</c:v>
                  </c:pt>
                  <c:pt idx="1">
                    <c:v>Value in 2018</c:v>
                  </c:pt>
                  <c:pt idx="2">
                    <c:v>Value in 2019</c:v>
                  </c:pt>
                  <c:pt idx="3">
                    <c:v>Value in 2020</c:v>
                  </c:pt>
                  <c:pt idx="4">
                    <c:v>Value in 2021</c:v>
                  </c:pt>
                  <c:pt idx="5">
                    <c:v>Value in 2022</c:v>
                  </c:pt>
                  <c:pt idx="6">
                    <c:v>Value in 2023</c:v>
                  </c:pt>
                  <c:pt idx="7">
                    <c:v>Value in 2024</c:v>
                  </c:pt>
                </c:lvl>
                <c:lvl>
                  <c:pt idx="0">
                    <c:v>South Africa's imports from Türkiye</c:v>
                  </c:pt>
                </c:lvl>
              </c:multiLvlStrCache>
            </c:multiLvlStrRef>
          </c:cat>
          <c:val>
            <c:numRef>
              <c:f>Sayfa1!$C$5:$J$5</c:f>
              <c:numCache>
                <c:formatCode>General</c:formatCode>
                <c:ptCount val="8"/>
                <c:pt idx="0">
                  <c:v>82</c:v>
                </c:pt>
                <c:pt idx="1">
                  <c:v>41</c:v>
                </c:pt>
                <c:pt idx="2">
                  <c:v>71</c:v>
                </c:pt>
                <c:pt idx="3">
                  <c:v>16</c:v>
                </c:pt>
                <c:pt idx="4">
                  <c:v>109</c:v>
                </c:pt>
                <c:pt idx="5">
                  <c:v>247</c:v>
                </c:pt>
                <c:pt idx="6">
                  <c:v>111</c:v>
                </c:pt>
                <c:pt idx="7">
                  <c:v>14</c:v>
                </c:pt>
              </c:numCache>
            </c:numRef>
          </c:val>
          <c:smooth val="0"/>
          <c:extLst>
            <c:ext xmlns:c16="http://schemas.microsoft.com/office/drawing/2014/chart" uri="{C3380CC4-5D6E-409C-BE32-E72D297353CC}">
              <c16:uniqueId val="{00000000-18F2-4A8D-8D66-02E9BC484241}"/>
            </c:ext>
          </c:extLst>
        </c:ser>
        <c:ser>
          <c:idx val="1"/>
          <c:order val="1"/>
          <c:tx>
            <c:strRef>
              <c:f>Sayfa1!$B$6</c:f>
              <c:strCache>
                <c:ptCount val="1"/>
                <c:pt idx="0">
                  <c:v>Luminaires and lighting fittings, incl. searchlights and spotlights, and parts thereof, n.e.s; ...</c:v>
                </c:pt>
              </c:strCache>
            </c:strRef>
          </c:tx>
          <c:spPr>
            <a:ln w="28575" cap="rnd">
              <a:solidFill>
                <a:schemeClr val="accent2"/>
              </a:solidFill>
              <a:round/>
            </a:ln>
            <a:effectLst/>
          </c:spPr>
          <c:marker>
            <c:symbol val="none"/>
          </c:marker>
          <c:cat>
            <c:multiLvlStrRef>
              <c:f>Sayfa1!$C$3:$J$4</c:f>
              <c:multiLvlStrCache>
                <c:ptCount val="8"/>
                <c:lvl>
                  <c:pt idx="0">
                    <c:v>Value in 2017</c:v>
                  </c:pt>
                  <c:pt idx="1">
                    <c:v>Value in 2018</c:v>
                  </c:pt>
                  <c:pt idx="2">
                    <c:v>Value in 2019</c:v>
                  </c:pt>
                  <c:pt idx="3">
                    <c:v>Value in 2020</c:v>
                  </c:pt>
                  <c:pt idx="4">
                    <c:v>Value in 2021</c:v>
                  </c:pt>
                  <c:pt idx="5">
                    <c:v>Value in 2022</c:v>
                  </c:pt>
                  <c:pt idx="6">
                    <c:v>Value in 2023</c:v>
                  </c:pt>
                  <c:pt idx="7">
                    <c:v>Value in 2024</c:v>
                  </c:pt>
                </c:lvl>
                <c:lvl>
                  <c:pt idx="0">
                    <c:v>South Africa's imports from Türkiye</c:v>
                  </c:pt>
                </c:lvl>
              </c:multiLvlStrCache>
            </c:multiLvlStrRef>
          </c:cat>
          <c:val>
            <c:numRef>
              <c:f>Sayfa1!$C$6:$J$6</c:f>
              <c:numCache>
                <c:formatCode>General</c:formatCode>
                <c:ptCount val="8"/>
                <c:pt idx="0">
                  <c:v>70</c:v>
                </c:pt>
                <c:pt idx="1">
                  <c:v>301</c:v>
                </c:pt>
                <c:pt idx="2">
                  <c:v>184</c:v>
                </c:pt>
                <c:pt idx="3">
                  <c:v>52</c:v>
                </c:pt>
                <c:pt idx="4">
                  <c:v>316</c:v>
                </c:pt>
                <c:pt idx="5">
                  <c:v>190</c:v>
                </c:pt>
                <c:pt idx="6">
                  <c:v>110</c:v>
                </c:pt>
                <c:pt idx="7">
                  <c:v>62</c:v>
                </c:pt>
              </c:numCache>
            </c:numRef>
          </c:val>
          <c:smooth val="0"/>
          <c:extLst>
            <c:ext xmlns:c16="http://schemas.microsoft.com/office/drawing/2014/chart" uri="{C3380CC4-5D6E-409C-BE32-E72D297353CC}">
              <c16:uniqueId val="{00000001-18F2-4A8D-8D66-02E9BC484241}"/>
            </c:ext>
          </c:extLst>
        </c:ser>
        <c:ser>
          <c:idx val="2"/>
          <c:order val="2"/>
          <c:tx>
            <c:strRef>
              <c:f>Sayfa1!$B$7</c:f>
              <c:strCache>
                <c:ptCount val="1"/>
                <c:pt idx="0">
                  <c:v>Mattress supports (excl. spring interiors for seats); articles of bedding and similar furnishing, ...</c:v>
                </c:pt>
              </c:strCache>
            </c:strRef>
          </c:tx>
          <c:spPr>
            <a:ln w="28575" cap="rnd">
              <a:solidFill>
                <a:schemeClr val="accent3"/>
              </a:solidFill>
              <a:round/>
            </a:ln>
            <a:effectLst/>
          </c:spPr>
          <c:marker>
            <c:symbol val="none"/>
          </c:marker>
          <c:cat>
            <c:multiLvlStrRef>
              <c:f>Sayfa1!$C$3:$J$4</c:f>
              <c:multiLvlStrCache>
                <c:ptCount val="8"/>
                <c:lvl>
                  <c:pt idx="0">
                    <c:v>Value in 2017</c:v>
                  </c:pt>
                  <c:pt idx="1">
                    <c:v>Value in 2018</c:v>
                  </c:pt>
                  <c:pt idx="2">
                    <c:v>Value in 2019</c:v>
                  </c:pt>
                  <c:pt idx="3">
                    <c:v>Value in 2020</c:v>
                  </c:pt>
                  <c:pt idx="4">
                    <c:v>Value in 2021</c:v>
                  </c:pt>
                  <c:pt idx="5">
                    <c:v>Value in 2022</c:v>
                  </c:pt>
                  <c:pt idx="6">
                    <c:v>Value in 2023</c:v>
                  </c:pt>
                  <c:pt idx="7">
                    <c:v>Value in 2024</c:v>
                  </c:pt>
                </c:lvl>
                <c:lvl>
                  <c:pt idx="0">
                    <c:v>South Africa's imports from Türkiye</c:v>
                  </c:pt>
                </c:lvl>
              </c:multiLvlStrCache>
            </c:multiLvlStrRef>
          </c:cat>
          <c:val>
            <c:numRef>
              <c:f>Sayfa1!$C$7:$J$7</c:f>
              <c:numCache>
                <c:formatCode>General</c:formatCode>
                <c:ptCount val="8"/>
                <c:pt idx="0">
                  <c:v>57</c:v>
                </c:pt>
                <c:pt idx="1">
                  <c:v>132</c:v>
                </c:pt>
                <c:pt idx="2">
                  <c:v>179</c:v>
                </c:pt>
                <c:pt idx="3">
                  <c:v>251</c:v>
                </c:pt>
                <c:pt idx="4">
                  <c:v>110</c:v>
                </c:pt>
                <c:pt idx="5">
                  <c:v>84</c:v>
                </c:pt>
                <c:pt idx="6">
                  <c:v>78</c:v>
                </c:pt>
                <c:pt idx="7">
                  <c:v>98</c:v>
                </c:pt>
              </c:numCache>
            </c:numRef>
          </c:val>
          <c:smooth val="0"/>
          <c:extLst>
            <c:ext xmlns:c16="http://schemas.microsoft.com/office/drawing/2014/chart" uri="{C3380CC4-5D6E-409C-BE32-E72D297353CC}">
              <c16:uniqueId val="{00000002-18F2-4A8D-8D66-02E9BC484241}"/>
            </c:ext>
          </c:extLst>
        </c:ser>
        <c:ser>
          <c:idx val="3"/>
          <c:order val="3"/>
          <c:tx>
            <c:strRef>
              <c:f>Sayfa1!$B$8</c:f>
              <c:strCache>
                <c:ptCount val="1"/>
                <c:pt idx="0">
                  <c:v>Medical, surgical, dental or veterinary furniture, e.g. operating tables, examination tables, ...</c:v>
                </c:pt>
              </c:strCache>
            </c:strRef>
          </c:tx>
          <c:spPr>
            <a:ln w="28575" cap="rnd">
              <a:solidFill>
                <a:schemeClr val="accent4"/>
              </a:solidFill>
              <a:round/>
            </a:ln>
            <a:effectLst/>
          </c:spPr>
          <c:marker>
            <c:symbol val="none"/>
          </c:marker>
          <c:cat>
            <c:multiLvlStrRef>
              <c:f>Sayfa1!$C$3:$J$4</c:f>
              <c:multiLvlStrCache>
                <c:ptCount val="8"/>
                <c:lvl>
                  <c:pt idx="0">
                    <c:v>Value in 2017</c:v>
                  </c:pt>
                  <c:pt idx="1">
                    <c:v>Value in 2018</c:v>
                  </c:pt>
                  <c:pt idx="2">
                    <c:v>Value in 2019</c:v>
                  </c:pt>
                  <c:pt idx="3">
                    <c:v>Value in 2020</c:v>
                  </c:pt>
                  <c:pt idx="4">
                    <c:v>Value in 2021</c:v>
                  </c:pt>
                  <c:pt idx="5">
                    <c:v>Value in 2022</c:v>
                  </c:pt>
                  <c:pt idx="6">
                    <c:v>Value in 2023</c:v>
                  </c:pt>
                  <c:pt idx="7">
                    <c:v>Value in 2024</c:v>
                  </c:pt>
                </c:lvl>
                <c:lvl>
                  <c:pt idx="0">
                    <c:v>South Africa's imports from Türkiye</c:v>
                  </c:pt>
                </c:lvl>
              </c:multiLvlStrCache>
            </c:multiLvlStrRef>
          </c:cat>
          <c:val>
            <c:numRef>
              <c:f>Sayfa1!$C$8:$J$8</c:f>
              <c:numCache>
                <c:formatCode>General</c:formatCode>
                <c:ptCount val="8"/>
                <c:pt idx="0">
                  <c:v>239</c:v>
                </c:pt>
                <c:pt idx="1">
                  <c:v>419</c:v>
                </c:pt>
                <c:pt idx="2">
                  <c:v>295</c:v>
                </c:pt>
                <c:pt idx="3">
                  <c:v>692</c:v>
                </c:pt>
                <c:pt idx="4">
                  <c:v>826</c:v>
                </c:pt>
                <c:pt idx="5">
                  <c:v>849</c:v>
                </c:pt>
                <c:pt idx="6">
                  <c:v>912</c:v>
                </c:pt>
                <c:pt idx="7">
                  <c:v>1013</c:v>
                </c:pt>
              </c:numCache>
            </c:numRef>
          </c:val>
          <c:smooth val="0"/>
          <c:extLst>
            <c:ext xmlns:c16="http://schemas.microsoft.com/office/drawing/2014/chart" uri="{C3380CC4-5D6E-409C-BE32-E72D297353CC}">
              <c16:uniqueId val="{00000003-18F2-4A8D-8D66-02E9BC484241}"/>
            </c:ext>
          </c:extLst>
        </c:ser>
        <c:ser>
          <c:idx val="4"/>
          <c:order val="4"/>
          <c:tx>
            <c:strRef>
              <c:f>Sayfa1!$B$9</c:f>
              <c:strCache>
                <c:ptCount val="1"/>
                <c:pt idx="0">
                  <c:v>Furniture and parts thereof, n.e.s. (excl. seats and medical, surgical, dental or veterinary ...</c:v>
                </c:pt>
              </c:strCache>
            </c:strRef>
          </c:tx>
          <c:spPr>
            <a:ln w="28575" cap="rnd">
              <a:solidFill>
                <a:schemeClr val="accent5"/>
              </a:solidFill>
              <a:round/>
            </a:ln>
            <a:effectLst/>
          </c:spPr>
          <c:marker>
            <c:symbol val="none"/>
          </c:marker>
          <c:cat>
            <c:multiLvlStrRef>
              <c:f>Sayfa1!$C$3:$J$4</c:f>
              <c:multiLvlStrCache>
                <c:ptCount val="8"/>
                <c:lvl>
                  <c:pt idx="0">
                    <c:v>Value in 2017</c:v>
                  </c:pt>
                  <c:pt idx="1">
                    <c:v>Value in 2018</c:v>
                  </c:pt>
                  <c:pt idx="2">
                    <c:v>Value in 2019</c:v>
                  </c:pt>
                  <c:pt idx="3">
                    <c:v>Value in 2020</c:v>
                  </c:pt>
                  <c:pt idx="4">
                    <c:v>Value in 2021</c:v>
                  </c:pt>
                  <c:pt idx="5">
                    <c:v>Value in 2022</c:v>
                  </c:pt>
                  <c:pt idx="6">
                    <c:v>Value in 2023</c:v>
                  </c:pt>
                  <c:pt idx="7">
                    <c:v>Value in 2024</c:v>
                  </c:pt>
                </c:lvl>
                <c:lvl>
                  <c:pt idx="0">
                    <c:v>South Africa's imports from Türkiye</c:v>
                  </c:pt>
                </c:lvl>
              </c:multiLvlStrCache>
            </c:multiLvlStrRef>
          </c:cat>
          <c:val>
            <c:numRef>
              <c:f>Sayfa1!$C$9:$J$9</c:f>
              <c:numCache>
                <c:formatCode>General</c:formatCode>
                <c:ptCount val="8"/>
                <c:pt idx="0">
                  <c:v>1124</c:v>
                </c:pt>
                <c:pt idx="1">
                  <c:v>2581</c:v>
                </c:pt>
                <c:pt idx="2">
                  <c:v>2020</c:v>
                </c:pt>
                <c:pt idx="3">
                  <c:v>1287</c:v>
                </c:pt>
                <c:pt idx="4">
                  <c:v>2722</c:v>
                </c:pt>
                <c:pt idx="5">
                  <c:v>2734</c:v>
                </c:pt>
                <c:pt idx="6">
                  <c:v>2509</c:v>
                </c:pt>
                <c:pt idx="7">
                  <c:v>2325</c:v>
                </c:pt>
              </c:numCache>
            </c:numRef>
          </c:val>
          <c:smooth val="0"/>
          <c:extLst>
            <c:ext xmlns:c16="http://schemas.microsoft.com/office/drawing/2014/chart" uri="{C3380CC4-5D6E-409C-BE32-E72D297353CC}">
              <c16:uniqueId val="{00000004-18F2-4A8D-8D66-02E9BC484241}"/>
            </c:ext>
          </c:extLst>
        </c:ser>
        <c:ser>
          <c:idx val="5"/>
          <c:order val="5"/>
          <c:tx>
            <c:strRef>
              <c:f>Sayfa1!$B$10</c:f>
              <c:strCache>
                <c:ptCount val="1"/>
                <c:pt idx="0">
                  <c:v>Seats, whether or not convertible into beds, and parts thereof, n.e.s. (excl. medical, surgical, ...</c:v>
                </c:pt>
              </c:strCache>
            </c:strRef>
          </c:tx>
          <c:spPr>
            <a:ln w="28575" cap="rnd">
              <a:solidFill>
                <a:schemeClr val="accent6"/>
              </a:solidFill>
              <a:round/>
            </a:ln>
            <a:effectLst/>
          </c:spPr>
          <c:marker>
            <c:symbol val="none"/>
          </c:marker>
          <c:cat>
            <c:multiLvlStrRef>
              <c:f>Sayfa1!$C$3:$J$4</c:f>
              <c:multiLvlStrCache>
                <c:ptCount val="8"/>
                <c:lvl>
                  <c:pt idx="0">
                    <c:v>Value in 2017</c:v>
                  </c:pt>
                  <c:pt idx="1">
                    <c:v>Value in 2018</c:v>
                  </c:pt>
                  <c:pt idx="2">
                    <c:v>Value in 2019</c:v>
                  </c:pt>
                  <c:pt idx="3">
                    <c:v>Value in 2020</c:v>
                  </c:pt>
                  <c:pt idx="4">
                    <c:v>Value in 2021</c:v>
                  </c:pt>
                  <c:pt idx="5">
                    <c:v>Value in 2022</c:v>
                  </c:pt>
                  <c:pt idx="6">
                    <c:v>Value in 2023</c:v>
                  </c:pt>
                  <c:pt idx="7">
                    <c:v>Value in 2024</c:v>
                  </c:pt>
                </c:lvl>
                <c:lvl>
                  <c:pt idx="0">
                    <c:v>South Africa's imports from Türkiye</c:v>
                  </c:pt>
                </c:lvl>
              </c:multiLvlStrCache>
            </c:multiLvlStrRef>
          </c:cat>
          <c:val>
            <c:numRef>
              <c:f>Sayfa1!$C$10:$J$10</c:f>
              <c:numCache>
                <c:formatCode>General</c:formatCode>
                <c:ptCount val="8"/>
                <c:pt idx="0">
                  <c:v>2801</c:v>
                </c:pt>
                <c:pt idx="1">
                  <c:v>3040</c:v>
                </c:pt>
                <c:pt idx="2">
                  <c:v>2791</c:v>
                </c:pt>
                <c:pt idx="3">
                  <c:v>1751</c:v>
                </c:pt>
                <c:pt idx="4">
                  <c:v>3308</c:v>
                </c:pt>
                <c:pt idx="5">
                  <c:v>4403</c:v>
                </c:pt>
                <c:pt idx="6">
                  <c:v>3566</c:v>
                </c:pt>
                <c:pt idx="7">
                  <c:v>3922</c:v>
                </c:pt>
              </c:numCache>
            </c:numRef>
          </c:val>
          <c:smooth val="0"/>
          <c:extLst>
            <c:ext xmlns:c16="http://schemas.microsoft.com/office/drawing/2014/chart" uri="{C3380CC4-5D6E-409C-BE32-E72D297353CC}">
              <c16:uniqueId val="{00000005-18F2-4A8D-8D66-02E9BC484241}"/>
            </c:ext>
          </c:extLst>
        </c:ser>
        <c:ser>
          <c:idx val="6"/>
          <c:order val="6"/>
          <c:tx>
            <c:strRef>
              <c:f>Sayfa1!$B$11</c:f>
              <c:strCache>
                <c:ptCount val="1"/>
                <c:pt idx="0">
                  <c:v>Toplam</c:v>
                </c:pt>
              </c:strCache>
            </c:strRef>
          </c:tx>
          <c:spPr>
            <a:ln w="28575" cap="rnd">
              <a:solidFill>
                <a:schemeClr val="accent1">
                  <a:lumMod val="60000"/>
                </a:schemeClr>
              </a:solidFill>
              <a:round/>
            </a:ln>
            <a:effectLst/>
          </c:spPr>
          <c:marker>
            <c:symbol val="none"/>
          </c:marker>
          <c:cat>
            <c:multiLvlStrRef>
              <c:f>Sayfa1!$C$3:$J$4</c:f>
              <c:multiLvlStrCache>
                <c:ptCount val="8"/>
                <c:lvl>
                  <c:pt idx="0">
                    <c:v>Value in 2017</c:v>
                  </c:pt>
                  <c:pt idx="1">
                    <c:v>Value in 2018</c:v>
                  </c:pt>
                  <c:pt idx="2">
                    <c:v>Value in 2019</c:v>
                  </c:pt>
                  <c:pt idx="3">
                    <c:v>Value in 2020</c:v>
                  </c:pt>
                  <c:pt idx="4">
                    <c:v>Value in 2021</c:v>
                  </c:pt>
                  <c:pt idx="5">
                    <c:v>Value in 2022</c:v>
                  </c:pt>
                  <c:pt idx="6">
                    <c:v>Value in 2023</c:v>
                  </c:pt>
                  <c:pt idx="7">
                    <c:v>Value in 2024</c:v>
                  </c:pt>
                </c:lvl>
                <c:lvl>
                  <c:pt idx="0">
                    <c:v>South Africa's imports from Türkiye</c:v>
                  </c:pt>
                </c:lvl>
              </c:multiLvlStrCache>
            </c:multiLvlStrRef>
          </c:cat>
          <c:val>
            <c:numRef>
              <c:f>Sayfa1!$C$11:$J$11</c:f>
              <c:numCache>
                <c:formatCode>General</c:formatCode>
                <c:ptCount val="8"/>
                <c:pt idx="0">
                  <c:v>4373</c:v>
                </c:pt>
                <c:pt idx="1">
                  <c:v>6514</c:v>
                </c:pt>
                <c:pt idx="2">
                  <c:v>5540</c:v>
                </c:pt>
                <c:pt idx="3">
                  <c:v>4049</c:v>
                </c:pt>
                <c:pt idx="4">
                  <c:v>7391</c:v>
                </c:pt>
                <c:pt idx="5">
                  <c:v>8507</c:v>
                </c:pt>
                <c:pt idx="6">
                  <c:v>7286</c:v>
                </c:pt>
                <c:pt idx="7">
                  <c:v>7434</c:v>
                </c:pt>
              </c:numCache>
            </c:numRef>
          </c:val>
          <c:smooth val="0"/>
          <c:extLst>
            <c:ext xmlns:c16="http://schemas.microsoft.com/office/drawing/2014/chart" uri="{C3380CC4-5D6E-409C-BE32-E72D297353CC}">
              <c16:uniqueId val="{00000006-18F2-4A8D-8D66-02E9BC484241}"/>
            </c:ext>
          </c:extLst>
        </c:ser>
        <c:dLbls>
          <c:showLegendKey val="0"/>
          <c:showVal val="0"/>
          <c:showCatName val="0"/>
          <c:showSerName val="0"/>
          <c:showPercent val="0"/>
          <c:showBubbleSize val="0"/>
        </c:dLbls>
        <c:smooth val="0"/>
        <c:axId val="51863743"/>
        <c:axId val="51873311"/>
      </c:lineChart>
      <c:catAx>
        <c:axId val="51863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73311"/>
        <c:crosses val="autoZero"/>
        <c:auto val="1"/>
        <c:lblAlgn val="ctr"/>
        <c:lblOffset val="100"/>
        <c:noMultiLvlLbl val="0"/>
      </c:catAx>
      <c:valAx>
        <c:axId val="518733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63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0771E-424A-44C0-9A0B-7B6DB4C72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8155</TotalTime>
  <Pages>10</Pages>
  <Words>2659</Words>
  <Characters>15159</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ilkereralp@gmail.com</dc:creator>
  <cp:keywords/>
  <dc:description/>
  <cp:lastModifiedBy>ilkereralp@gmail.com</cp:lastModifiedBy>
  <cp:revision>34</cp:revision>
  <dcterms:created xsi:type="dcterms:W3CDTF">2025-09-02T10:50:00Z</dcterms:created>
  <dcterms:modified xsi:type="dcterms:W3CDTF">2025-10-27T08:09:00Z</dcterms:modified>
</cp:coreProperties>
</file>