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35" w:rsidRPr="00CD74FD" w:rsidRDefault="00943735" w:rsidP="00943735">
      <w:pPr>
        <w:ind w:hanging="426"/>
        <w:jc w:val="center"/>
        <w:rPr>
          <w:rFonts w:ascii="Times New Roman" w:hAnsi="Times New Roman" w:cs="Times New Roman"/>
          <w:b/>
        </w:rPr>
      </w:pPr>
      <w:r w:rsidRPr="00CD74FD">
        <w:rPr>
          <w:rFonts w:ascii="Times New Roman" w:hAnsi="Times New Roman" w:cs="Times New Roman"/>
          <w:b/>
        </w:rPr>
        <w:t>EK-2</w:t>
      </w:r>
    </w:p>
    <w:p w:rsidR="00943735" w:rsidRPr="00CD74FD" w:rsidRDefault="00943735" w:rsidP="00943735">
      <w:pPr>
        <w:ind w:hanging="426"/>
        <w:jc w:val="center"/>
        <w:rPr>
          <w:rFonts w:ascii="Times New Roman" w:hAnsi="Times New Roman" w:cs="Times New Roman"/>
          <w:b/>
        </w:rPr>
      </w:pPr>
    </w:p>
    <w:p w:rsidR="00943735" w:rsidRPr="00CD74FD" w:rsidRDefault="00066E87" w:rsidP="00943735">
      <w:pPr>
        <w:ind w:hanging="426"/>
        <w:jc w:val="center"/>
        <w:rPr>
          <w:rFonts w:ascii="Times New Roman" w:hAnsi="Times New Roman" w:cs="Times New Roman"/>
          <w:b/>
        </w:rPr>
      </w:pPr>
      <w:r w:rsidRPr="00CD74FD">
        <w:rPr>
          <w:rFonts w:ascii="Times New Roman" w:hAnsi="Times New Roman" w:cs="Times New Roman"/>
          <w:b/>
        </w:rPr>
        <w:t>EK</w:t>
      </w:r>
      <w:r w:rsidR="00943735" w:rsidRPr="00CD74FD">
        <w:rPr>
          <w:rFonts w:ascii="Times New Roman" w:hAnsi="Times New Roman" w:cs="Times New Roman"/>
          <w:b/>
        </w:rPr>
        <w:t>-</w:t>
      </w:r>
      <w:r w:rsidR="00730243" w:rsidRPr="00CD74FD">
        <w:rPr>
          <w:rFonts w:ascii="Times New Roman" w:hAnsi="Times New Roman" w:cs="Times New Roman"/>
          <w:b/>
        </w:rPr>
        <w:t>2</w:t>
      </w:r>
      <w:r w:rsidR="00107F46" w:rsidRPr="00CD74FD">
        <w:rPr>
          <w:rFonts w:ascii="Times New Roman" w:hAnsi="Times New Roman" w:cs="Times New Roman"/>
          <w:b/>
        </w:rPr>
        <w:t>A</w:t>
      </w:r>
    </w:p>
    <w:p w:rsidR="00107F46" w:rsidRPr="00CD74FD" w:rsidRDefault="00066E87" w:rsidP="00943735">
      <w:pPr>
        <w:ind w:hanging="426"/>
        <w:jc w:val="center"/>
        <w:rPr>
          <w:rFonts w:ascii="Times New Roman" w:hAnsi="Times New Roman" w:cs="Times New Roman"/>
          <w:b/>
        </w:rPr>
      </w:pPr>
      <w:r w:rsidRPr="00CD74FD">
        <w:rPr>
          <w:rFonts w:ascii="Times New Roman" w:hAnsi="Times New Roman" w:cs="Times New Roman"/>
          <w:b/>
        </w:rPr>
        <w:t>KURUMSAL ALTYAPI OLUŞTURMAYA YÖNELİK DANIŞMANLIKLAR</w:t>
      </w:r>
    </w:p>
    <w:p w:rsidR="00107F46" w:rsidRPr="00CD74FD" w:rsidRDefault="00107F46" w:rsidP="00107F46">
      <w:pPr>
        <w:ind w:hanging="426"/>
        <w:jc w:val="both"/>
        <w:rPr>
          <w:rFonts w:ascii="Times New Roman" w:hAnsi="Times New Roman" w:cs="Times New Roman"/>
          <w:b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7371"/>
      </w:tblGrid>
      <w:tr w:rsidR="00CD74FD" w:rsidRPr="00CD74FD" w:rsidTr="00107F46">
        <w:trPr>
          <w:trHeight w:val="113"/>
          <w:jc w:val="center"/>
        </w:trPr>
        <w:tc>
          <w:tcPr>
            <w:tcW w:w="10496" w:type="dxa"/>
            <w:gridSpan w:val="2"/>
            <w:shd w:val="clear" w:color="auto" w:fill="auto"/>
            <w:vAlign w:val="center"/>
          </w:tcPr>
          <w:p w:rsidR="009B2A86" w:rsidRPr="00CD74FD" w:rsidRDefault="00AC1B41" w:rsidP="002F4250">
            <w:pPr>
              <w:pStyle w:val="ListeParagraf"/>
              <w:numPr>
                <w:ilvl w:val="0"/>
                <w:numId w:val="25"/>
              </w:numPr>
              <w:tabs>
                <w:tab w:val="left" w:pos="2065"/>
                <w:tab w:val="center" w:pos="4496"/>
              </w:tabs>
              <w:rPr>
                <w:rFonts w:ascii="Times New Roman" w:hAnsi="Times New Roman" w:cs="Times New Roman"/>
                <w:b/>
              </w:rPr>
            </w:pPr>
            <w:r w:rsidRPr="00CD74FD">
              <w:rPr>
                <w:rFonts w:ascii="Times New Roman" w:hAnsi="Times New Roman" w:cs="Times New Roman"/>
                <w:b/>
              </w:rPr>
              <w:t>YÖNETİM DANIŞMANLIĞI</w:t>
            </w:r>
          </w:p>
        </w:tc>
      </w:tr>
      <w:tr w:rsidR="00CD74FD" w:rsidRPr="00CD74FD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</w:tcPr>
          <w:p w:rsidR="00DC56AC" w:rsidRPr="00CD74FD" w:rsidRDefault="009B2A86" w:rsidP="00E70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74FD">
              <w:rPr>
                <w:rFonts w:ascii="Times New Roman" w:hAnsi="Times New Roman" w:cs="Times New Roman"/>
                <w:b/>
              </w:rPr>
              <w:t>Destek Unsuru</w:t>
            </w:r>
          </w:p>
        </w:tc>
        <w:tc>
          <w:tcPr>
            <w:tcW w:w="7371" w:type="dxa"/>
          </w:tcPr>
          <w:p w:rsidR="00DC56AC" w:rsidRPr="00CD74FD" w:rsidRDefault="00263C16" w:rsidP="00263C16">
            <w:pPr>
              <w:tabs>
                <w:tab w:val="center" w:pos="208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74FD">
              <w:rPr>
                <w:rFonts w:ascii="Times New Roman" w:hAnsi="Times New Roman" w:cs="Times New Roman"/>
                <w:b/>
              </w:rPr>
              <w:t>Kapsam</w:t>
            </w:r>
            <w:r w:rsidRPr="00CD74FD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D74FD" w:rsidRPr="00CD74FD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Değer Zinciri Yönetimi</w:t>
            </w:r>
          </w:p>
        </w:tc>
        <w:tc>
          <w:tcPr>
            <w:tcW w:w="7371" w:type="dxa"/>
            <w:vAlign w:val="center"/>
          </w:tcPr>
          <w:p w:rsidR="00A23F96" w:rsidRPr="00CD74FD" w:rsidRDefault="00A23F96" w:rsidP="004840C8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Kurulacak altyapının nev’i, dağıtım ve tedarik kanalları, operasyon, depolama, satış sonrası hizmet altyapısının </w:t>
            </w:r>
            <w:r w:rsidR="00383840" w:rsidRPr="00CD74FD">
              <w:rPr>
                <w:rFonts w:ascii="Times New Roman" w:hAnsi="Times New Roman" w:cs="Times New Roman"/>
              </w:rPr>
              <w:t>kurulması ve optimizasyonuna</w:t>
            </w:r>
            <w:r w:rsidRPr="00CD74FD">
              <w:rPr>
                <w:rFonts w:ascii="Times New Roman" w:hAnsi="Times New Roman" w:cs="Times New Roman"/>
              </w:rPr>
              <w:t xml:space="preserve"> yönelik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  <w:bookmarkStart w:id="0" w:name="_GoBack"/>
            <w:bookmarkEnd w:id="0"/>
          </w:p>
        </w:tc>
      </w:tr>
      <w:tr w:rsidR="00CD74FD" w:rsidRPr="00CD74FD" w:rsidTr="00107F46">
        <w:trPr>
          <w:trHeight w:val="1121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DC56AC" w:rsidRPr="00CD74FD" w:rsidRDefault="00112A7C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Değişim Yönetimi </w:t>
            </w:r>
          </w:p>
        </w:tc>
        <w:tc>
          <w:tcPr>
            <w:tcW w:w="7371" w:type="dxa"/>
            <w:vAlign w:val="center"/>
          </w:tcPr>
          <w:p w:rsidR="00DC56AC" w:rsidRPr="00CD74FD" w:rsidRDefault="004F1955" w:rsidP="00C31CDD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Organizasyonel yeniden yapılanma,</w:t>
            </w:r>
            <w:r w:rsidR="00C619D6" w:rsidRPr="00CD74FD">
              <w:rPr>
                <w:rFonts w:ascii="Times New Roman" w:hAnsi="Times New Roman" w:cs="Times New Roman"/>
              </w:rPr>
              <w:t xml:space="preserve"> </w:t>
            </w:r>
            <w:r w:rsidRPr="00CD74FD">
              <w:rPr>
                <w:rFonts w:ascii="Times New Roman" w:hAnsi="Times New Roman" w:cs="Times New Roman"/>
              </w:rPr>
              <w:t>yeni s</w:t>
            </w:r>
            <w:r w:rsidR="00C619D6" w:rsidRPr="00CD74FD">
              <w:rPr>
                <w:rFonts w:ascii="Times New Roman" w:hAnsi="Times New Roman" w:cs="Times New Roman"/>
              </w:rPr>
              <w:t>istem ve uygulamaların</w:t>
            </w:r>
            <w:r w:rsidR="00372157" w:rsidRPr="00CD74FD">
              <w:rPr>
                <w:rFonts w:ascii="Times New Roman" w:hAnsi="Times New Roman" w:cs="Times New Roman"/>
              </w:rPr>
              <w:t xml:space="preserve"> adaptasyonu, </w:t>
            </w:r>
            <w:r w:rsidR="00991132" w:rsidRPr="00CD74FD">
              <w:rPr>
                <w:rFonts w:ascii="Times New Roman" w:hAnsi="Times New Roman" w:cs="Times New Roman"/>
              </w:rPr>
              <w:t xml:space="preserve">yurt dışı </w:t>
            </w:r>
            <w:r w:rsidR="00372157" w:rsidRPr="00CD74FD">
              <w:rPr>
                <w:rFonts w:ascii="Times New Roman" w:hAnsi="Times New Roman" w:cs="Times New Roman"/>
              </w:rPr>
              <w:t>şirket birleşme ve</w:t>
            </w:r>
            <w:r w:rsidR="00991132" w:rsidRPr="00CD74FD">
              <w:rPr>
                <w:rFonts w:ascii="Times New Roman" w:hAnsi="Times New Roman" w:cs="Times New Roman"/>
              </w:rPr>
              <w:t xml:space="preserve"> yurt dışı şirket</w:t>
            </w:r>
            <w:r w:rsidR="00372157" w:rsidRPr="00CD74FD">
              <w:rPr>
                <w:rFonts w:ascii="Times New Roman" w:hAnsi="Times New Roman" w:cs="Times New Roman"/>
              </w:rPr>
              <w:t xml:space="preserve"> satın almaları sonrası adaptasyon</w:t>
            </w:r>
            <w:r w:rsidR="00C31CDD" w:rsidRPr="00CD74FD">
              <w:rPr>
                <w:rFonts w:ascii="Times New Roman" w:hAnsi="Times New Roman" w:cs="Times New Roman"/>
              </w:rPr>
              <w:t>a ilişkin danışmanlık giderleri</w:t>
            </w:r>
          </w:p>
        </w:tc>
      </w:tr>
      <w:tr w:rsidR="00CD74FD" w:rsidRPr="00CD74FD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Finansal Yönetim</w:t>
            </w:r>
          </w:p>
        </w:tc>
        <w:tc>
          <w:tcPr>
            <w:tcW w:w="7371" w:type="dxa"/>
            <w:vAlign w:val="center"/>
          </w:tcPr>
          <w:p w:rsidR="00A23F96" w:rsidRPr="00CD74FD" w:rsidRDefault="00A23F96" w:rsidP="00383840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Firmaların finansal </w:t>
            </w:r>
            <w:r w:rsidR="00383840" w:rsidRPr="00CD74FD">
              <w:rPr>
                <w:rFonts w:ascii="Times New Roman" w:hAnsi="Times New Roman" w:cs="Times New Roman"/>
              </w:rPr>
              <w:t>stratejilerine</w:t>
            </w:r>
            <w:r w:rsidRPr="00CD74FD">
              <w:rPr>
                <w:rFonts w:ascii="Times New Roman" w:hAnsi="Times New Roman" w:cs="Times New Roman"/>
              </w:rPr>
              <w:t xml:space="preserve"> ilişkin (kredilendirme, dış kaynak kullanımı vb.) alacağı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Fiyatlama ve Kârlılık Yönetimi</w:t>
            </w:r>
          </w:p>
        </w:tc>
        <w:tc>
          <w:tcPr>
            <w:tcW w:w="7371" w:type="dxa"/>
            <w:vAlign w:val="center"/>
          </w:tcPr>
          <w:p w:rsidR="00A23F96" w:rsidRPr="00CD74FD" w:rsidRDefault="00A23F96" w:rsidP="00A23F96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Fiyat ve kar optimizasyonuna ilişkin alınacak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İnsan Kaynakları Yönetimi</w:t>
            </w:r>
          </w:p>
        </w:tc>
        <w:tc>
          <w:tcPr>
            <w:tcW w:w="7371" w:type="dxa"/>
            <w:vAlign w:val="center"/>
          </w:tcPr>
          <w:p w:rsidR="00A23F96" w:rsidRPr="00CD74FD" w:rsidRDefault="00A45D6C" w:rsidP="00A45D6C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İşe alım, oryantasyon, performans, terfi ücret ve yetenek yönetimi, kariyer planlamaya yönelik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İş Geliştirme ve İş Sürekliliği</w:t>
            </w:r>
          </w:p>
        </w:tc>
        <w:tc>
          <w:tcPr>
            <w:tcW w:w="7371" w:type="dxa"/>
            <w:vAlign w:val="center"/>
          </w:tcPr>
          <w:p w:rsidR="00A23F96" w:rsidRPr="00CD74FD" w:rsidRDefault="0004691D" w:rsidP="0004691D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Kuruluşun ve organizasyon yapısının analizi, iş etki ve risk analizi, iş sürekliliği stratejilerinin belirlenmesi, plan ve süreç geliştirme</w:t>
            </w:r>
            <w:r w:rsidR="00C31CDD" w:rsidRPr="00CD74FD">
              <w:rPr>
                <w:rFonts w:ascii="Times New Roman" w:hAnsi="Times New Roman" w:cs="Times New Roman"/>
              </w:rPr>
              <w:t>ye ilişkin danışmanlık giderleri</w:t>
            </w:r>
          </w:p>
        </w:tc>
      </w:tr>
      <w:tr w:rsidR="00CD74FD" w:rsidRPr="00CD74FD" w:rsidTr="00107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DD0" w:rsidRPr="00CD74FD" w:rsidRDefault="00E87DD0" w:rsidP="00E87DD0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İtibar ve Kriz Yönetimi Danışmanlığı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D0" w:rsidRPr="00CD74FD" w:rsidRDefault="00E87DD0" w:rsidP="00E87DD0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Firmanın pazardaki saygınlığına ilişkin krizlerin yönetilmesi</w:t>
            </w:r>
            <w:r w:rsidR="00C31CDD" w:rsidRPr="00CD74FD">
              <w:rPr>
                <w:rFonts w:ascii="Times New Roman" w:hAnsi="Times New Roman" w:cs="Times New Roman"/>
              </w:rPr>
              <w:t>ne ilişkin danışmanlık giderleri</w:t>
            </w:r>
          </w:p>
        </w:tc>
      </w:tr>
      <w:tr w:rsidR="00CD74FD" w:rsidRPr="00CD74FD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2E20FA" w:rsidRPr="00CD74FD" w:rsidRDefault="002E20FA" w:rsidP="002E20FA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Kalite Yönetimi ve Kontrol</w:t>
            </w:r>
          </w:p>
        </w:tc>
        <w:tc>
          <w:tcPr>
            <w:tcW w:w="7371" w:type="dxa"/>
            <w:vAlign w:val="center"/>
          </w:tcPr>
          <w:p w:rsidR="002E20FA" w:rsidRPr="00CD74FD" w:rsidRDefault="002E20FA" w:rsidP="00EF45E0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Kalite sistemlerinin oluşturulması ve sürekliliğine yönelik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  <w:r w:rsidR="001D5465" w:rsidRPr="00CD7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4FD" w:rsidRPr="00CD74FD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  <w:b/>
              </w:rPr>
            </w:pPr>
            <w:r w:rsidRPr="00CD74FD">
              <w:rPr>
                <w:rFonts w:ascii="Times New Roman" w:hAnsi="Times New Roman" w:cs="Times New Roman"/>
              </w:rPr>
              <w:t>Kurumsal Kimlik Oluşturulması</w:t>
            </w:r>
          </w:p>
        </w:tc>
        <w:tc>
          <w:tcPr>
            <w:tcW w:w="7371" w:type="dxa"/>
            <w:vAlign w:val="center"/>
          </w:tcPr>
          <w:p w:rsidR="00A23F96" w:rsidRPr="00CD74FD" w:rsidRDefault="000544D2" w:rsidP="00A23F96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Kurumsal marka kimliği oluşturulmasına yönelik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107F46">
        <w:trPr>
          <w:trHeight w:val="99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Kurumsal Yönetişim</w:t>
            </w:r>
          </w:p>
        </w:tc>
        <w:tc>
          <w:tcPr>
            <w:tcW w:w="7371" w:type="dxa"/>
            <w:vAlign w:val="center"/>
          </w:tcPr>
          <w:p w:rsidR="00A23F96" w:rsidRPr="00CD74FD" w:rsidRDefault="00717C82" w:rsidP="00FF4367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Şir</w:t>
            </w:r>
            <w:r w:rsidR="002E20FA" w:rsidRPr="00CD74FD">
              <w:rPr>
                <w:rFonts w:ascii="Times New Roman" w:hAnsi="Times New Roman" w:cs="Times New Roman"/>
              </w:rPr>
              <w:t xml:space="preserve">ket politika ve prosedürlerinin </w:t>
            </w:r>
            <w:r w:rsidRPr="00CD74FD">
              <w:rPr>
                <w:rFonts w:ascii="Times New Roman" w:hAnsi="Times New Roman" w:cs="Times New Roman"/>
              </w:rPr>
              <w:t xml:space="preserve">belirlenmesine ve </w:t>
            </w:r>
            <w:r w:rsidR="005C66F0" w:rsidRPr="00CD74FD">
              <w:rPr>
                <w:rFonts w:ascii="Times New Roman" w:hAnsi="Times New Roman" w:cs="Times New Roman"/>
              </w:rPr>
              <w:t>m</w:t>
            </w:r>
            <w:r w:rsidR="00FF4367" w:rsidRPr="00CD74FD">
              <w:rPr>
                <w:rFonts w:ascii="Times New Roman" w:hAnsi="Times New Roman" w:cs="Times New Roman"/>
              </w:rPr>
              <w:t>evcut kurumsal yöneti</w:t>
            </w:r>
            <w:r w:rsidR="005C66F0" w:rsidRPr="00CD74FD">
              <w:rPr>
                <w:rFonts w:ascii="Times New Roman" w:hAnsi="Times New Roman" w:cs="Times New Roman"/>
              </w:rPr>
              <w:t xml:space="preserve">m politikalarını gözden geçirilmesine yönelik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Marka Yönetimi</w:t>
            </w:r>
          </w:p>
        </w:tc>
        <w:tc>
          <w:tcPr>
            <w:tcW w:w="7371" w:type="dxa"/>
            <w:vAlign w:val="center"/>
          </w:tcPr>
          <w:p w:rsidR="00A23F96" w:rsidRPr="00CD74FD" w:rsidRDefault="00A23F96" w:rsidP="00A23F96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Tüketici nezdinde markanın algısı ve pazarda yer alan rakiplere göre markanın farklılaştırılması, pazara özel marka mesajının tasarlanmasına yönelik alınan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107F46">
        <w:trPr>
          <w:trHeight w:val="278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Pazara Giriş Danışmanlığı </w:t>
            </w:r>
          </w:p>
        </w:tc>
        <w:tc>
          <w:tcPr>
            <w:tcW w:w="7371" w:type="dxa"/>
            <w:vAlign w:val="center"/>
          </w:tcPr>
          <w:p w:rsidR="00A23F96" w:rsidRPr="00CD74FD" w:rsidRDefault="00E64B08" w:rsidP="00717C82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Hedef p</w:t>
            </w:r>
            <w:r w:rsidR="00A23F96" w:rsidRPr="00CD74FD">
              <w:rPr>
                <w:rFonts w:ascii="Times New Roman" w:hAnsi="Times New Roman" w:cs="Times New Roman"/>
              </w:rPr>
              <w:t xml:space="preserve">azar seçimine ilişkin karar almaya yardımcı olmak üzere pazarların kendine özgü dinamiklerinin değerlendirildiği, rakiplerin güçlü/zayıf yanlarıyla irdelendiği ve giriş stratejilerinin oluşturulmasına yönelik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Risk Yönetimi</w:t>
            </w:r>
          </w:p>
        </w:tc>
        <w:tc>
          <w:tcPr>
            <w:tcW w:w="7371" w:type="dxa"/>
            <w:vAlign w:val="center"/>
          </w:tcPr>
          <w:p w:rsidR="00A23F96" w:rsidRPr="00CD74FD" w:rsidRDefault="00BF7B55" w:rsidP="001C1593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Kurumsal risk süreçlerinin </w:t>
            </w:r>
            <w:r w:rsidR="001C1593" w:rsidRPr="00CD74FD">
              <w:rPr>
                <w:rFonts w:ascii="Times New Roman" w:hAnsi="Times New Roman" w:cs="Times New Roman"/>
              </w:rPr>
              <w:t>tespit edilmesi</w:t>
            </w:r>
            <w:r w:rsidRPr="00CD74FD">
              <w:rPr>
                <w:rFonts w:ascii="Times New Roman" w:hAnsi="Times New Roman" w:cs="Times New Roman"/>
              </w:rPr>
              <w:t>, kategorize edilmesi,</w:t>
            </w:r>
            <w:r w:rsidR="002E20FA" w:rsidRPr="00CD74FD">
              <w:rPr>
                <w:rFonts w:ascii="Times New Roman" w:hAnsi="Times New Roman" w:cs="Times New Roman"/>
              </w:rPr>
              <w:t xml:space="preserve"> sorumlularının </w:t>
            </w:r>
            <w:r w:rsidRPr="00CD74FD">
              <w:rPr>
                <w:rFonts w:ascii="Times New Roman" w:hAnsi="Times New Roman" w:cs="Times New Roman"/>
              </w:rPr>
              <w:t xml:space="preserve">belirlenmesini, risklerin etki değerlendirmelerinin yapılarak bu risklerin kontrol altına alınması için gerekli aksiyonlara yönelik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Süreç Yönetimi</w:t>
            </w:r>
          </w:p>
        </w:tc>
        <w:tc>
          <w:tcPr>
            <w:tcW w:w="7371" w:type="dxa"/>
            <w:vAlign w:val="center"/>
          </w:tcPr>
          <w:p w:rsidR="00A23F96" w:rsidRPr="00CD74FD" w:rsidRDefault="00BF7B55" w:rsidP="00BF7B55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Süreçlerin ve performans kriterlerinin belirlenmesi, ölçülmesi, </w:t>
            </w:r>
            <w:r w:rsidR="000313EC" w:rsidRPr="00CD74FD">
              <w:rPr>
                <w:rFonts w:ascii="Times New Roman" w:hAnsi="Times New Roman" w:cs="Times New Roman"/>
              </w:rPr>
              <w:t xml:space="preserve">iyileştirilmesine yönelik </w:t>
            </w:r>
            <w:r w:rsidR="00C31CDD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107F46">
        <w:trPr>
          <w:trHeight w:val="294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Tasarım Danışma</w:t>
            </w:r>
            <w:r w:rsidR="00A47E01" w:rsidRPr="00CD74FD">
              <w:rPr>
                <w:rFonts w:ascii="Times New Roman" w:hAnsi="Times New Roman" w:cs="Times New Roman"/>
              </w:rPr>
              <w:t>n</w:t>
            </w:r>
            <w:r w:rsidRPr="00CD74FD">
              <w:rPr>
                <w:rFonts w:ascii="Times New Roman" w:hAnsi="Times New Roman" w:cs="Times New Roman"/>
              </w:rPr>
              <w:t>lığı</w:t>
            </w:r>
          </w:p>
        </w:tc>
        <w:tc>
          <w:tcPr>
            <w:tcW w:w="7371" w:type="dxa"/>
            <w:vAlign w:val="center"/>
          </w:tcPr>
          <w:p w:rsidR="00A23F96" w:rsidRPr="00CD74FD" w:rsidRDefault="00031B88" w:rsidP="00031B88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Endüstriyel/</w:t>
            </w:r>
            <w:r w:rsidR="00A23F96" w:rsidRPr="00CD74FD">
              <w:rPr>
                <w:rFonts w:ascii="Times New Roman" w:hAnsi="Times New Roman" w:cs="Times New Roman"/>
              </w:rPr>
              <w:t>Moda</w:t>
            </w:r>
            <w:r w:rsidRPr="00CD74FD">
              <w:rPr>
                <w:rFonts w:ascii="Times New Roman" w:hAnsi="Times New Roman" w:cs="Times New Roman"/>
              </w:rPr>
              <w:t>/</w:t>
            </w:r>
            <w:r w:rsidR="001C1593" w:rsidRPr="00CD74FD">
              <w:rPr>
                <w:rFonts w:ascii="Times New Roman" w:hAnsi="Times New Roman" w:cs="Times New Roman"/>
              </w:rPr>
              <w:t>Ambalaj Tasarımı</w:t>
            </w:r>
          </w:p>
        </w:tc>
      </w:tr>
      <w:tr w:rsidR="00A23F96" w:rsidRPr="00CD74FD" w:rsidTr="00107F46">
        <w:trPr>
          <w:trHeight w:val="54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23F96" w:rsidRPr="00CD74FD" w:rsidRDefault="00A23F96" w:rsidP="00A23F96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Üretim Yönetimi/ Performansının İyileştirilmesi</w:t>
            </w:r>
          </w:p>
        </w:tc>
        <w:tc>
          <w:tcPr>
            <w:tcW w:w="7371" w:type="dxa"/>
            <w:vAlign w:val="center"/>
          </w:tcPr>
          <w:p w:rsidR="00A23F96" w:rsidRPr="00CD74FD" w:rsidRDefault="00EE6430" w:rsidP="00A23F96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Üretim</w:t>
            </w:r>
            <w:r w:rsidR="001F69B6" w:rsidRPr="00CD74FD">
              <w:rPr>
                <w:rFonts w:ascii="Times New Roman" w:hAnsi="Times New Roman" w:cs="Times New Roman"/>
              </w:rPr>
              <w:t xml:space="preserve"> süreçlerinin</w:t>
            </w:r>
            <w:r w:rsidRPr="00CD74FD">
              <w:rPr>
                <w:rFonts w:ascii="Times New Roman" w:hAnsi="Times New Roman" w:cs="Times New Roman"/>
              </w:rPr>
              <w:t xml:space="preserve"> optimizasyonuna ilişkin alınacak </w:t>
            </w:r>
            <w:r w:rsidR="00C31CDD" w:rsidRPr="00CD74FD">
              <w:rPr>
                <w:rFonts w:ascii="Times New Roman" w:hAnsi="Times New Roman" w:cs="Times New Roman"/>
              </w:rPr>
              <w:t xml:space="preserve">danışmanlık giderleri </w:t>
            </w:r>
            <w:r w:rsidR="00827915" w:rsidRPr="00CD74FD">
              <w:rPr>
                <w:rFonts w:ascii="Times New Roman" w:hAnsi="Times New Roman" w:cs="Times New Roman"/>
              </w:rPr>
              <w:t>(</w:t>
            </w:r>
            <w:r w:rsidRPr="00CD74FD">
              <w:rPr>
                <w:rFonts w:ascii="Times New Roman" w:hAnsi="Times New Roman" w:cs="Times New Roman"/>
              </w:rPr>
              <w:t>yalın üretim, 6 sigma,</w:t>
            </w:r>
            <w:r w:rsidR="008E00CA" w:rsidRPr="00CD74FD">
              <w:rPr>
                <w:rFonts w:ascii="Times New Roman" w:hAnsi="Times New Roman" w:cs="Times New Roman"/>
              </w:rPr>
              <w:t xml:space="preserve"> </w:t>
            </w:r>
            <w:r w:rsidRPr="00CD74FD">
              <w:rPr>
                <w:rFonts w:ascii="Times New Roman" w:hAnsi="Times New Roman" w:cs="Times New Roman"/>
              </w:rPr>
              <w:t>kaizen vb.)</w:t>
            </w:r>
          </w:p>
        </w:tc>
      </w:tr>
    </w:tbl>
    <w:p w:rsidR="0089423C" w:rsidRPr="00CD74FD" w:rsidRDefault="0089423C" w:rsidP="00D879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23C" w:rsidRPr="00CD74FD" w:rsidRDefault="0089423C" w:rsidP="00D879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3120"/>
        <w:gridCol w:w="7371"/>
      </w:tblGrid>
      <w:tr w:rsidR="00CD74FD" w:rsidRPr="00CD74FD" w:rsidTr="00107F46">
        <w:tc>
          <w:tcPr>
            <w:tcW w:w="10491" w:type="dxa"/>
            <w:gridSpan w:val="2"/>
          </w:tcPr>
          <w:p w:rsidR="00CF50FE" w:rsidRPr="00CD74FD" w:rsidRDefault="00AC1B41" w:rsidP="002F4250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bookmarkStart w:id="1" w:name="_Hlk113376589"/>
            <w:r w:rsidRPr="00CD74FD">
              <w:rPr>
                <w:rFonts w:ascii="Times New Roman" w:hAnsi="Times New Roman" w:cs="Times New Roman"/>
                <w:b/>
              </w:rPr>
              <w:t>BİLİŞİM DANIŞMANLIĞI</w:t>
            </w:r>
          </w:p>
          <w:p w:rsidR="00107F46" w:rsidRPr="00CD74FD" w:rsidRDefault="00107F46" w:rsidP="009B2A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4FD" w:rsidRPr="00CD74FD" w:rsidTr="00107F46">
        <w:tc>
          <w:tcPr>
            <w:tcW w:w="3120" w:type="dxa"/>
          </w:tcPr>
          <w:p w:rsidR="00CF50FE" w:rsidRPr="00CD74FD" w:rsidRDefault="00A23F96" w:rsidP="00E70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74FD">
              <w:rPr>
                <w:rFonts w:ascii="Times New Roman" w:hAnsi="Times New Roman" w:cs="Times New Roman"/>
                <w:b/>
              </w:rPr>
              <w:t>Destek Unsuru</w:t>
            </w:r>
          </w:p>
        </w:tc>
        <w:tc>
          <w:tcPr>
            <w:tcW w:w="7371" w:type="dxa"/>
          </w:tcPr>
          <w:p w:rsidR="00CF50FE" w:rsidRPr="00CD74FD" w:rsidRDefault="00CF50FE" w:rsidP="00E70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74FD">
              <w:rPr>
                <w:rFonts w:ascii="Times New Roman" w:hAnsi="Times New Roman" w:cs="Times New Roman"/>
                <w:b/>
              </w:rPr>
              <w:t>Kapsam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Bilgi Güvenliği Çözümleri</w:t>
            </w:r>
          </w:p>
        </w:tc>
        <w:tc>
          <w:tcPr>
            <w:tcW w:w="7371" w:type="dxa"/>
          </w:tcPr>
          <w:p w:rsidR="00C31CDD" w:rsidRPr="00CD74FD" w:rsidRDefault="00160C35" w:rsidP="00C31CDD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Şirket verilerinin ataklara karşı korunmasına ilişkin </w:t>
            </w:r>
            <w:r w:rsidR="008C54DB" w:rsidRPr="00CD74FD">
              <w:rPr>
                <w:rFonts w:ascii="Times New Roman" w:hAnsi="Times New Roman" w:cs="Times New Roman"/>
              </w:rPr>
              <w:t>giderler</w:t>
            </w:r>
            <w:r w:rsidRPr="00CD74FD">
              <w:rPr>
                <w:rFonts w:ascii="Times New Roman" w:hAnsi="Times New Roman" w:cs="Times New Roman"/>
              </w:rPr>
              <w:t xml:space="preserve"> </w:t>
            </w:r>
          </w:p>
          <w:p w:rsidR="00160C35" w:rsidRPr="00CD74FD" w:rsidRDefault="00C31CDD" w:rsidP="00C31CD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D74FD">
              <w:rPr>
                <w:rFonts w:ascii="Times New Roman" w:hAnsi="Times New Roman" w:cs="Times New Roman"/>
                <w:i/>
              </w:rPr>
              <w:t>(</w:t>
            </w:r>
            <w:r w:rsidR="00160C35" w:rsidRPr="00CD74FD">
              <w:rPr>
                <w:rFonts w:ascii="Times New Roman" w:hAnsi="Times New Roman" w:cs="Times New Roman"/>
                <w:i/>
              </w:rPr>
              <w:t>Anti virüs ve firewall uygulamaları destek kapsamı dışındadır.</w:t>
            </w:r>
            <w:r w:rsidRPr="00CD74F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FF661B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Sanayide Dijital Dönüşüm</w:t>
            </w:r>
          </w:p>
        </w:tc>
        <w:tc>
          <w:tcPr>
            <w:tcW w:w="7371" w:type="dxa"/>
          </w:tcPr>
          <w:p w:rsidR="00160C35" w:rsidRPr="00CD74FD" w:rsidRDefault="00C7463D" w:rsidP="00C31CDD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Veri üretebilen yeni nesil endüstriyel robotlardan akan verileri okumak, saklamak ve analiz</w:t>
            </w:r>
            <w:r w:rsidR="00C31CDD" w:rsidRPr="00CD74FD">
              <w:rPr>
                <w:rFonts w:ascii="Times New Roman" w:hAnsi="Times New Roman" w:cs="Times New Roman"/>
              </w:rPr>
              <w:t xml:space="preserve"> etmek için gerekli yazılımlar, i</w:t>
            </w:r>
            <w:r w:rsidRPr="00CD74FD">
              <w:rPr>
                <w:rFonts w:ascii="Times New Roman" w:hAnsi="Times New Roman" w:cs="Times New Roman"/>
              </w:rPr>
              <w:t xml:space="preserve">nsan – makine arayüzü, artırılmış gerçeklik giderleri 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FF661B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Felaket</w:t>
            </w:r>
            <w:r w:rsidR="00160C35" w:rsidRPr="00CD74FD">
              <w:rPr>
                <w:rFonts w:ascii="Times New Roman" w:hAnsi="Times New Roman" w:cs="Times New Roman"/>
              </w:rPr>
              <w:t xml:space="preserve"> Yönetimi Sistemleri</w:t>
            </w:r>
          </w:p>
        </w:tc>
        <w:tc>
          <w:tcPr>
            <w:tcW w:w="7371" w:type="dxa"/>
          </w:tcPr>
          <w:p w:rsidR="00160C35" w:rsidRPr="00CD74FD" w:rsidRDefault="00160C35" w:rsidP="00C31CDD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Şirket bünyesinde yer alan bilgilerin yedeklenmesine ilişkin alınabilecek, kopyalama yazılımı, yedekleme, işletim sistemi giderleri </w:t>
            </w:r>
            <w:r w:rsidR="00C31CDD" w:rsidRPr="00CD74FD">
              <w:rPr>
                <w:rFonts w:ascii="Times New Roman" w:hAnsi="Times New Roman" w:cs="Times New Roman"/>
                <w:i/>
              </w:rPr>
              <w:t>(</w:t>
            </w:r>
            <w:r w:rsidRPr="00CD74FD">
              <w:rPr>
                <w:rFonts w:ascii="Times New Roman" w:hAnsi="Times New Roman" w:cs="Times New Roman"/>
                <w:i/>
              </w:rPr>
              <w:t>Sistem odası giderleri kapsam dışındadır.</w:t>
            </w:r>
            <w:r w:rsidR="00C31CDD" w:rsidRPr="00CD74F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9D371F" w:rsidRPr="00CD74FD" w:rsidRDefault="009D371F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İnsan Kaynakları Yönetim Sistemleri</w:t>
            </w:r>
          </w:p>
        </w:tc>
        <w:tc>
          <w:tcPr>
            <w:tcW w:w="7371" w:type="dxa"/>
          </w:tcPr>
          <w:p w:rsidR="009D371F" w:rsidRPr="00CD74FD" w:rsidRDefault="009D371F" w:rsidP="00F43FC0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İşe alım, </w:t>
            </w:r>
            <w:r w:rsidR="00C31CDD" w:rsidRPr="00CD74FD">
              <w:rPr>
                <w:rFonts w:ascii="Times New Roman" w:hAnsi="Times New Roman" w:cs="Times New Roman"/>
              </w:rPr>
              <w:t>uyum</w:t>
            </w:r>
            <w:r w:rsidRPr="00CD74FD">
              <w:rPr>
                <w:rFonts w:ascii="Times New Roman" w:hAnsi="Times New Roman" w:cs="Times New Roman"/>
              </w:rPr>
              <w:t>,</w:t>
            </w:r>
            <w:r w:rsidR="00F43FC0" w:rsidRPr="00CD74FD">
              <w:rPr>
                <w:rFonts w:ascii="Times New Roman" w:hAnsi="Times New Roman" w:cs="Times New Roman"/>
              </w:rPr>
              <w:t xml:space="preserve"> performans,</w:t>
            </w:r>
            <w:r w:rsidR="00A45D6C" w:rsidRPr="00CD74FD">
              <w:rPr>
                <w:rFonts w:ascii="Times New Roman" w:hAnsi="Times New Roman" w:cs="Times New Roman"/>
              </w:rPr>
              <w:t xml:space="preserve"> terfi</w:t>
            </w:r>
            <w:r w:rsidR="00F43FC0" w:rsidRPr="00CD74FD">
              <w:rPr>
                <w:rFonts w:ascii="Times New Roman" w:hAnsi="Times New Roman" w:cs="Times New Roman"/>
              </w:rPr>
              <w:t xml:space="preserve"> ücret ve yetenek yönetimi, kariyer </w:t>
            </w:r>
            <w:r w:rsidRPr="00CD74FD">
              <w:rPr>
                <w:rFonts w:ascii="Times New Roman" w:hAnsi="Times New Roman" w:cs="Times New Roman"/>
              </w:rPr>
              <w:t>planlama ve analitik siste</w:t>
            </w:r>
            <w:r w:rsidR="00C31CDD" w:rsidRPr="00CD74FD">
              <w:rPr>
                <w:rFonts w:ascii="Times New Roman" w:hAnsi="Times New Roman" w:cs="Times New Roman"/>
              </w:rPr>
              <w:t>mlere ilişkin yazılım giderleri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İş Akış - Süreç Yönetim Sistemleri</w:t>
            </w:r>
          </w:p>
        </w:tc>
        <w:tc>
          <w:tcPr>
            <w:tcW w:w="7371" w:type="dxa"/>
          </w:tcPr>
          <w:p w:rsidR="00160C35" w:rsidRPr="00CD74FD" w:rsidRDefault="00C1781D" w:rsidP="00160C35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Evrak ve </w:t>
            </w:r>
            <w:r w:rsidR="00C31CDD" w:rsidRPr="00CD74FD">
              <w:rPr>
                <w:rFonts w:ascii="Times New Roman" w:hAnsi="Times New Roman" w:cs="Times New Roman"/>
              </w:rPr>
              <w:t>Doküman Yönetimi, E-İş Y</w:t>
            </w:r>
            <w:r w:rsidR="00160C35" w:rsidRPr="00CD74FD">
              <w:rPr>
                <w:rFonts w:ascii="Times New Roman" w:hAnsi="Times New Roman" w:cs="Times New Roman"/>
              </w:rPr>
              <w:t>önetim</w:t>
            </w:r>
            <w:r w:rsidR="00C31CDD" w:rsidRPr="00CD74FD">
              <w:rPr>
                <w:rFonts w:ascii="Times New Roman" w:hAnsi="Times New Roman" w:cs="Times New Roman"/>
              </w:rPr>
              <w:t xml:space="preserve"> Sistemlerine ilişkin giderler</w:t>
            </w:r>
            <w:r w:rsidR="00160C35" w:rsidRPr="00CD7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Karar Destek Sistemleri</w:t>
            </w:r>
          </w:p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</w:p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60C35" w:rsidRPr="00CD74FD" w:rsidRDefault="00B67C14" w:rsidP="00C31CDD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V</w:t>
            </w:r>
            <w:r w:rsidR="00160C35" w:rsidRPr="00CD74FD">
              <w:rPr>
                <w:rFonts w:ascii="Times New Roman" w:hAnsi="Times New Roman" w:cs="Times New Roman"/>
              </w:rPr>
              <w:t xml:space="preserve">erilerin işlenerek stratejik karar alma süreçlerinde kullanılmasına </w:t>
            </w:r>
            <w:r w:rsidRPr="00CD74FD">
              <w:rPr>
                <w:rFonts w:ascii="Times New Roman" w:hAnsi="Times New Roman" w:cs="Times New Roman"/>
              </w:rPr>
              <w:t>yönelik</w:t>
            </w:r>
            <w:r w:rsidR="00160C35" w:rsidRPr="00CD74FD">
              <w:rPr>
                <w:rFonts w:ascii="Times New Roman" w:hAnsi="Times New Roman" w:cs="Times New Roman"/>
              </w:rPr>
              <w:t xml:space="preserve"> </w:t>
            </w:r>
            <w:r w:rsidRPr="00CD74FD">
              <w:rPr>
                <w:rFonts w:ascii="Times New Roman" w:hAnsi="Times New Roman" w:cs="Times New Roman"/>
              </w:rPr>
              <w:t xml:space="preserve">iş </w:t>
            </w:r>
            <w:r w:rsidR="00C31CDD" w:rsidRPr="00CD74FD">
              <w:rPr>
                <w:rFonts w:ascii="Times New Roman" w:hAnsi="Times New Roman" w:cs="Times New Roman"/>
              </w:rPr>
              <w:t>zekâsı</w:t>
            </w:r>
            <w:r w:rsidRPr="00CD74FD">
              <w:rPr>
                <w:rFonts w:ascii="Times New Roman" w:hAnsi="Times New Roman" w:cs="Times New Roman"/>
              </w:rPr>
              <w:t xml:space="preserve"> ve yönetim rapo</w:t>
            </w:r>
            <w:r w:rsidR="00C31CDD" w:rsidRPr="00CD74FD">
              <w:rPr>
                <w:rFonts w:ascii="Times New Roman" w:hAnsi="Times New Roman" w:cs="Times New Roman"/>
              </w:rPr>
              <w:t>rlama sistemlerine ilişkin giderler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Kurumsal Kaynak Planlaması (ERP)</w:t>
            </w:r>
          </w:p>
        </w:tc>
        <w:tc>
          <w:tcPr>
            <w:tcW w:w="7371" w:type="dxa"/>
          </w:tcPr>
          <w:p w:rsidR="00160C35" w:rsidRPr="00CD74FD" w:rsidRDefault="00A44BCF" w:rsidP="00C31CDD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Kurumsal kaynak planlaması sistemlerini oluşturulmasına yönelik satın alınacak iş süreçleri </w:t>
            </w:r>
            <w:r w:rsidR="00064609" w:rsidRPr="00CD74FD">
              <w:rPr>
                <w:rFonts w:ascii="Times New Roman" w:hAnsi="Times New Roman" w:cs="Times New Roman"/>
              </w:rPr>
              <w:t xml:space="preserve">ve </w:t>
            </w:r>
            <w:r w:rsidRPr="00CD74FD">
              <w:rPr>
                <w:rFonts w:ascii="Times New Roman" w:hAnsi="Times New Roman" w:cs="Times New Roman"/>
              </w:rPr>
              <w:t>yazılımın üstünde çalışacağı</w:t>
            </w:r>
            <w:r w:rsidR="00C31CDD" w:rsidRPr="00CD74FD">
              <w:rPr>
                <w:rFonts w:ascii="Times New Roman" w:hAnsi="Times New Roman" w:cs="Times New Roman"/>
              </w:rPr>
              <w:t xml:space="preserve"> sistemlere ilişkin</w:t>
            </w:r>
            <w:r w:rsidR="00B67C14" w:rsidRPr="00CD74FD">
              <w:rPr>
                <w:rFonts w:ascii="Times New Roman" w:hAnsi="Times New Roman" w:cs="Times New Roman"/>
              </w:rPr>
              <w:t xml:space="preserve"> giderler 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Kurumsal Performans Yönetimi</w:t>
            </w:r>
          </w:p>
        </w:tc>
        <w:tc>
          <w:tcPr>
            <w:tcW w:w="7371" w:type="dxa"/>
          </w:tcPr>
          <w:p w:rsidR="00160C35" w:rsidRPr="00CD74FD" w:rsidRDefault="00A44BCF" w:rsidP="00A44BCF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Stratejik hedef ve amaçlarının yönetildiği, performansların ve gelişime açık alanların anahtar performans göstergeleri ile öl</w:t>
            </w:r>
            <w:r w:rsidR="00C31CDD" w:rsidRPr="00CD74FD">
              <w:rPr>
                <w:rFonts w:ascii="Times New Roman" w:hAnsi="Times New Roman" w:cs="Times New Roman"/>
              </w:rPr>
              <w:t>çüldüğü sistemlere ilişkin giderler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Müşteri İlişkileri Yönetimi (CRM)</w:t>
            </w:r>
          </w:p>
        </w:tc>
        <w:tc>
          <w:tcPr>
            <w:tcW w:w="7371" w:type="dxa"/>
          </w:tcPr>
          <w:p w:rsidR="00160C35" w:rsidRPr="00CD74FD" w:rsidRDefault="007B07AF" w:rsidP="00741514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M</w:t>
            </w:r>
            <w:r w:rsidR="00160C35" w:rsidRPr="00CD74FD">
              <w:rPr>
                <w:rFonts w:ascii="Times New Roman" w:hAnsi="Times New Roman" w:cs="Times New Roman"/>
              </w:rPr>
              <w:t>evcut ve potansiyel müşterilerin bilgilerinin</w:t>
            </w:r>
            <w:r w:rsidR="00C00E3C" w:rsidRPr="00CD74FD">
              <w:rPr>
                <w:rFonts w:ascii="Times New Roman" w:hAnsi="Times New Roman" w:cs="Times New Roman"/>
              </w:rPr>
              <w:t>, satın alma alışkanlıklarının analiz edildiği</w:t>
            </w:r>
            <w:r w:rsidR="00160C35" w:rsidRPr="00CD74FD">
              <w:rPr>
                <w:rFonts w:ascii="Times New Roman" w:hAnsi="Times New Roman" w:cs="Times New Roman"/>
              </w:rPr>
              <w:t xml:space="preserve"> ve karar alma süreçlerinde kullanıldığı sistemler</w:t>
            </w:r>
            <w:r w:rsidR="003B538C" w:rsidRPr="00CD74FD">
              <w:rPr>
                <w:rFonts w:ascii="Times New Roman" w:hAnsi="Times New Roman" w:cs="Times New Roman"/>
              </w:rPr>
              <w:t xml:space="preserve"> ile m</w:t>
            </w:r>
            <w:r w:rsidR="00C00E3C" w:rsidRPr="00CD74FD">
              <w:rPr>
                <w:rFonts w:ascii="Times New Roman" w:hAnsi="Times New Roman" w:cs="Times New Roman"/>
              </w:rPr>
              <w:t xml:space="preserve">üşteri </w:t>
            </w:r>
            <w:r w:rsidR="003B538C" w:rsidRPr="00CD74FD">
              <w:rPr>
                <w:rFonts w:ascii="Times New Roman" w:hAnsi="Times New Roman" w:cs="Times New Roman"/>
              </w:rPr>
              <w:t>ş</w:t>
            </w:r>
            <w:r w:rsidR="00C31CDD" w:rsidRPr="00CD74FD">
              <w:rPr>
                <w:rFonts w:ascii="Times New Roman" w:hAnsi="Times New Roman" w:cs="Times New Roman"/>
              </w:rPr>
              <w:t>ikâyet</w:t>
            </w:r>
            <w:r w:rsidR="00C00E3C" w:rsidRPr="00CD74FD">
              <w:rPr>
                <w:rFonts w:ascii="Times New Roman" w:hAnsi="Times New Roman" w:cs="Times New Roman"/>
              </w:rPr>
              <w:t>,</w:t>
            </w:r>
            <w:r w:rsidR="003B538C" w:rsidRPr="00CD74FD">
              <w:rPr>
                <w:rFonts w:ascii="Times New Roman" w:hAnsi="Times New Roman" w:cs="Times New Roman"/>
              </w:rPr>
              <w:t xml:space="preserve"> çağrı m</w:t>
            </w:r>
            <w:r w:rsidR="00160C35" w:rsidRPr="00CD74FD">
              <w:rPr>
                <w:rFonts w:ascii="Times New Roman" w:hAnsi="Times New Roman" w:cs="Times New Roman"/>
              </w:rPr>
              <w:t>erkezi</w:t>
            </w:r>
            <w:r w:rsidR="003B538C" w:rsidRPr="00CD74FD">
              <w:rPr>
                <w:rFonts w:ascii="Times New Roman" w:hAnsi="Times New Roman" w:cs="Times New Roman"/>
              </w:rPr>
              <w:t xml:space="preserve"> ve s</w:t>
            </w:r>
            <w:r w:rsidR="00C00E3C" w:rsidRPr="00CD74FD">
              <w:rPr>
                <w:rFonts w:ascii="Times New Roman" w:hAnsi="Times New Roman" w:cs="Times New Roman"/>
              </w:rPr>
              <w:t>atış</w:t>
            </w:r>
            <w:r w:rsidR="003B538C" w:rsidRPr="00CD74FD">
              <w:rPr>
                <w:rFonts w:ascii="Times New Roman" w:hAnsi="Times New Roman" w:cs="Times New Roman"/>
              </w:rPr>
              <w:t xml:space="preserve"> yönetim s</w:t>
            </w:r>
            <w:r w:rsidR="00160C35" w:rsidRPr="00CD74FD">
              <w:rPr>
                <w:rFonts w:ascii="Times New Roman" w:hAnsi="Times New Roman" w:cs="Times New Roman"/>
              </w:rPr>
              <w:t>isteml</w:t>
            </w:r>
            <w:r w:rsidR="00C31CDD" w:rsidRPr="00CD74FD">
              <w:rPr>
                <w:rFonts w:ascii="Times New Roman" w:hAnsi="Times New Roman" w:cs="Times New Roman"/>
              </w:rPr>
              <w:t>erini de kapsayan danışmanlık giderleri</w:t>
            </w:r>
            <w:r w:rsidRPr="00CD74FD">
              <w:rPr>
                <w:rFonts w:ascii="Times New Roman" w:hAnsi="Times New Roman" w:cs="Times New Roman"/>
              </w:rPr>
              <w:t xml:space="preserve"> </w:t>
            </w:r>
            <w:r w:rsidRPr="00CD74FD">
              <w:rPr>
                <w:rFonts w:ascii="Times New Roman" w:hAnsi="Times New Roman" w:cs="Times New Roman"/>
                <w:i/>
              </w:rPr>
              <w:t>(</w:t>
            </w:r>
            <w:r w:rsidR="00741514" w:rsidRPr="00CD74FD">
              <w:rPr>
                <w:rFonts w:ascii="Times New Roman" w:hAnsi="Times New Roman" w:cs="Times New Roman"/>
                <w:i/>
              </w:rPr>
              <w:t>Destek kapsamındaki şirketin bayileri ve distribütörleri müşteri ilişkileri y</w:t>
            </w:r>
            <w:r w:rsidR="00815353" w:rsidRPr="00CD74FD">
              <w:rPr>
                <w:rFonts w:ascii="Times New Roman" w:hAnsi="Times New Roman" w:cs="Times New Roman"/>
                <w:i/>
              </w:rPr>
              <w:t xml:space="preserve">önetimi </w:t>
            </w:r>
            <w:r w:rsidR="00741514" w:rsidRPr="00CD74FD">
              <w:rPr>
                <w:rFonts w:ascii="Times New Roman" w:hAnsi="Times New Roman" w:cs="Times New Roman"/>
                <w:i/>
              </w:rPr>
              <w:t xml:space="preserve">sistemlerini </w:t>
            </w:r>
            <w:r w:rsidR="00815353" w:rsidRPr="00CD74FD">
              <w:rPr>
                <w:rFonts w:ascii="Times New Roman" w:hAnsi="Times New Roman" w:cs="Times New Roman"/>
                <w:i/>
              </w:rPr>
              <w:t>kullan</w:t>
            </w:r>
            <w:r w:rsidR="00741514" w:rsidRPr="00CD74FD">
              <w:rPr>
                <w:rFonts w:ascii="Times New Roman" w:hAnsi="Times New Roman" w:cs="Times New Roman"/>
                <w:i/>
              </w:rPr>
              <w:t>abilir</w:t>
            </w:r>
            <w:r w:rsidR="00620182" w:rsidRPr="00CD74FD">
              <w:rPr>
                <w:rFonts w:ascii="Times New Roman" w:hAnsi="Times New Roman" w:cs="Times New Roman"/>
                <w:i/>
              </w:rPr>
              <w:t>.</w:t>
            </w:r>
            <w:r w:rsidR="00815353" w:rsidRPr="00CD74FD">
              <w:rPr>
                <w:rFonts w:ascii="Times New Roman" w:hAnsi="Times New Roman" w:cs="Times New Roman"/>
                <w:i/>
              </w:rPr>
              <w:t>)</w:t>
            </w:r>
            <w:r w:rsidR="00815353" w:rsidRPr="00CD7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Nesnelerin İnterneti (Internet of</w:t>
            </w:r>
            <w:r w:rsidR="008E00CA" w:rsidRPr="00CD74FD">
              <w:rPr>
                <w:rFonts w:ascii="Times New Roman" w:hAnsi="Times New Roman" w:cs="Times New Roman"/>
              </w:rPr>
              <w:t xml:space="preserve"> </w:t>
            </w:r>
            <w:r w:rsidRPr="00CD74FD">
              <w:rPr>
                <w:rFonts w:ascii="Times New Roman" w:hAnsi="Times New Roman" w:cs="Times New Roman"/>
              </w:rPr>
              <w:t>Things)</w:t>
            </w:r>
          </w:p>
        </w:tc>
        <w:tc>
          <w:tcPr>
            <w:tcW w:w="7371" w:type="dxa"/>
          </w:tcPr>
          <w:p w:rsidR="00160C35" w:rsidRPr="00CD74FD" w:rsidRDefault="00194E6D" w:rsidP="00194E6D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Akıllı okuyucuların (sensör) ürettikleri verilerin a</w:t>
            </w:r>
            <w:r w:rsidR="00C31CDD" w:rsidRPr="00CD74FD">
              <w:rPr>
                <w:rFonts w:ascii="Times New Roman" w:hAnsi="Times New Roman" w:cs="Times New Roman"/>
              </w:rPr>
              <w:t>ktarılmasına yönelik yazılımlara ilişkin giderler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Risk Yönetim Sistemleri</w:t>
            </w:r>
          </w:p>
        </w:tc>
        <w:tc>
          <w:tcPr>
            <w:tcW w:w="7371" w:type="dxa"/>
          </w:tcPr>
          <w:p w:rsidR="00160C35" w:rsidRPr="00CD74FD" w:rsidRDefault="00AF31A7" w:rsidP="00160C35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Kurumsal risk süreçlerinin belirlenmesi, kategorize edilmesi, sorumlularının ve ait oldu</w:t>
            </w:r>
            <w:r w:rsidR="008E00CA" w:rsidRPr="00CD74FD">
              <w:rPr>
                <w:rFonts w:ascii="Times New Roman" w:hAnsi="Times New Roman" w:cs="Times New Roman"/>
              </w:rPr>
              <w:t>ğ</w:t>
            </w:r>
            <w:r w:rsidRPr="00CD74FD">
              <w:rPr>
                <w:rFonts w:ascii="Times New Roman" w:hAnsi="Times New Roman" w:cs="Times New Roman"/>
              </w:rPr>
              <w:t>u organizasyonel birimlerin belirlenmesini, belirlenen risklerin olasılık ve etki değerlendirmelerinin yapılarak bu risklerin kontrol altına alınması için gerekli aksiyonların takip</w:t>
            </w:r>
            <w:r w:rsidR="00C31CDD" w:rsidRPr="00CD74FD">
              <w:rPr>
                <w:rFonts w:ascii="Times New Roman" w:hAnsi="Times New Roman" w:cs="Times New Roman"/>
              </w:rPr>
              <w:t xml:space="preserve"> edilmesini sağlayan yazılımlara ilişkin giderler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Simülasyon / Tasarım</w:t>
            </w:r>
          </w:p>
        </w:tc>
        <w:tc>
          <w:tcPr>
            <w:tcW w:w="7371" w:type="dxa"/>
          </w:tcPr>
          <w:p w:rsidR="00160C35" w:rsidRPr="00CD74FD" w:rsidRDefault="00160C35" w:rsidP="00160C35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Bilgisayarlı Tasarım, Üretim (CAD/ CAM), 3 boyutlu baskılara yönelik alınan yazı</w:t>
            </w:r>
            <w:r w:rsidR="00064609" w:rsidRPr="00CD74FD">
              <w:rPr>
                <w:rFonts w:ascii="Times New Roman" w:hAnsi="Times New Roman" w:cs="Times New Roman"/>
              </w:rPr>
              <w:t>lı</w:t>
            </w:r>
            <w:r w:rsidR="00C31CDD" w:rsidRPr="00CD74FD">
              <w:rPr>
                <w:rFonts w:ascii="Times New Roman" w:hAnsi="Times New Roman" w:cs="Times New Roman"/>
              </w:rPr>
              <w:t>mlara ilişkin giderler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Talep Planlama Sistemleri (DMS)</w:t>
            </w:r>
          </w:p>
        </w:tc>
        <w:tc>
          <w:tcPr>
            <w:tcW w:w="7371" w:type="dxa"/>
          </w:tcPr>
          <w:p w:rsidR="00160C35" w:rsidRPr="00CD74FD" w:rsidRDefault="00AF31A7" w:rsidP="00160C35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Pazarlama, Satış, Üretim ve Tedarik süreçlerine ilişkin planlama s</w:t>
            </w:r>
            <w:r w:rsidR="00C31CDD" w:rsidRPr="00CD74FD">
              <w:rPr>
                <w:rFonts w:ascii="Times New Roman" w:hAnsi="Times New Roman" w:cs="Times New Roman"/>
              </w:rPr>
              <w:t>istemlerine ilişkin giderler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Tedarik Zinciri Yönetimi</w:t>
            </w:r>
          </w:p>
        </w:tc>
        <w:tc>
          <w:tcPr>
            <w:tcW w:w="7371" w:type="dxa"/>
          </w:tcPr>
          <w:p w:rsidR="00160C35" w:rsidRPr="00CD74FD" w:rsidRDefault="00160C35" w:rsidP="00160C35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Uçtan uca tedarik, perakende, araç planlama sistemleri, lojistik yön</w:t>
            </w:r>
            <w:r w:rsidR="00C31CDD" w:rsidRPr="00CD74FD">
              <w:rPr>
                <w:rFonts w:ascii="Times New Roman" w:hAnsi="Times New Roman" w:cs="Times New Roman"/>
              </w:rPr>
              <w:t>etim ve optimizasyon sistemlerine ilişkin giderler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Üretim Optimizasyon Sistemleri</w:t>
            </w:r>
          </w:p>
        </w:tc>
        <w:tc>
          <w:tcPr>
            <w:tcW w:w="7371" w:type="dxa"/>
          </w:tcPr>
          <w:p w:rsidR="00160C35" w:rsidRPr="00CD74FD" w:rsidRDefault="001060B9" w:rsidP="001060B9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Ür</w:t>
            </w:r>
            <w:r w:rsidR="008014CF" w:rsidRPr="00CD74FD">
              <w:rPr>
                <w:rFonts w:ascii="Times New Roman" w:hAnsi="Times New Roman" w:cs="Times New Roman"/>
              </w:rPr>
              <w:t xml:space="preserve">etim süreçlerinin optimizasyonu </w:t>
            </w:r>
            <w:r w:rsidRPr="00CD74FD">
              <w:rPr>
                <w:rFonts w:ascii="Times New Roman" w:hAnsi="Times New Roman" w:cs="Times New Roman"/>
              </w:rPr>
              <w:t>ve ü</w:t>
            </w:r>
            <w:r w:rsidR="00073CD5" w:rsidRPr="00CD74FD">
              <w:rPr>
                <w:rFonts w:ascii="Times New Roman" w:hAnsi="Times New Roman" w:cs="Times New Roman"/>
              </w:rPr>
              <w:t>retim planlama ve çizelgeme</w:t>
            </w:r>
            <w:r w:rsidR="00C31CDD" w:rsidRPr="00CD74FD">
              <w:rPr>
                <w:rFonts w:ascii="Times New Roman" w:hAnsi="Times New Roman" w:cs="Times New Roman"/>
              </w:rPr>
              <w:t xml:space="preserve"> yazılımlarına ilişkin giderler</w:t>
            </w:r>
          </w:p>
        </w:tc>
      </w:tr>
      <w:tr w:rsidR="00CD74FD" w:rsidRPr="00CD74FD" w:rsidTr="00107F46">
        <w:tc>
          <w:tcPr>
            <w:tcW w:w="3120" w:type="dxa"/>
            <w:vAlign w:val="center"/>
          </w:tcPr>
          <w:p w:rsidR="00160C35" w:rsidRPr="00CD74FD" w:rsidRDefault="00160C35" w:rsidP="00160C35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Yapay Zekâ Sistemleri</w:t>
            </w:r>
            <w:r w:rsidR="00AA0346" w:rsidRPr="00CD74FD">
              <w:rPr>
                <w:rFonts w:ascii="Times New Roman" w:hAnsi="Times New Roman" w:cs="Times New Roman"/>
              </w:rPr>
              <w:t xml:space="preserve"> ve Derin Öğrenme </w:t>
            </w:r>
            <w:r w:rsidR="002A1287" w:rsidRPr="00CD74FD">
              <w:rPr>
                <w:rFonts w:ascii="Times New Roman" w:hAnsi="Times New Roman" w:cs="Times New Roman"/>
              </w:rPr>
              <w:t>(Deep Intelligence)</w:t>
            </w:r>
          </w:p>
        </w:tc>
        <w:tc>
          <w:tcPr>
            <w:tcW w:w="7371" w:type="dxa"/>
          </w:tcPr>
          <w:p w:rsidR="00160C35" w:rsidRPr="00CD74FD" w:rsidRDefault="002A1287" w:rsidP="00160C35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Akıllı makinelerin üreteceği veri üzerinde koşulabilecek derin ve mak</w:t>
            </w:r>
            <w:r w:rsidR="00C31CDD" w:rsidRPr="00CD74FD">
              <w:rPr>
                <w:rFonts w:ascii="Times New Roman" w:hAnsi="Times New Roman" w:cs="Times New Roman"/>
              </w:rPr>
              <w:t>ine öğrenimine yönelik yazımlara ilişkin giderler</w:t>
            </w:r>
          </w:p>
        </w:tc>
      </w:tr>
      <w:bookmarkEnd w:id="1"/>
    </w:tbl>
    <w:p w:rsidR="00943735" w:rsidRPr="00CD74FD" w:rsidRDefault="00943735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CD6884" w:rsidRPr="00CD74FD" w:rsidRDefault="00CD6884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2F3C9E" w:rsidRPr="00CD74FD" w:rsidRDefault="002F3C9E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2F3C9E" w:rsidRPr="00CD74FD" w:rsidRDefault="002F3C9E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CD6884" w:rsidRPr="00CD74FD" w:rsidRDefault="00CD6884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CD6884" w:rsidRPr="00CD74FD" w:rsidRDefault="00CD6884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015D8F" w:rsidRPr="00CD74FD" w:rsidRDefault="00015D8F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943735" w:rsidRPr="00CD74FD" w:rsidRDefault="00943735" w:rsidP="00015D8F">
      <w:pPr>
        <w:ind w:right="-425"/>
        <w:jc w:val="both"/>
        <w:rPr>
          <w:rFonts w:ascii="Times New Roman" w:hAnsi="Times New Roman" w:cs="Times New Roman"/>
        </w:rPr>
      </w:pPr>
    </w:p>
    <w:p w:rsidR="00943735" w:rsidRPr="00CD74FD" w:rsidRDefault="00943735" w:rsidP="004C0095">
      <w:pPr>
        <w:ind w:left="-426" w:right="-425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3120"/>
        <w:gridCol w:w="7371"/>
      </w:tblGrid>
      <w:tr w:rsidR="00CD74FD" w:rsidRPr="00CD74FD" w:rsidTr="00810EA8">
        <w:tc>
          <w:tcPr>
            <w:tcW w:w="10491" w:type="dxa"/>
            <w:gridSpan w:val="2"/>
          </w:tcPr>
          <w:p w:rsidR="00CD6884" w:rsidRPr="00CD74FD" w:rsidRDefault="00CD6884" w:rsidP="00CD6884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CD74FD">
              <w:rPr>
                <w:rFonts w:ascii="Times New Roman" w:hAnsi="Times New Roman" w:cs="Times New Roman"/>
                <w:b/>
              </w:rPr>
              <w:lastRenderedPageBreak/>
              <w:t>SÜRDÜRÜLEBİLİRLİK DANIŞMANLIĞI</w:t>
            </w:r>
          </w:p>
          <w:p w:rsidR="00CD6884" w:rsidRPr="00CD74FD" w:rsidRDefault="00CD6884" w:rsidP="00CD6884">
            <w:pPr>
              <w:ind w:left="3375"/>
              <w:rPr>
                <w:rFonts w:ascii="Times New Roman" w:hAnsi="Times New Roman" w:cs="Times New Roman"/>
                <w:b/>
              </w:rPr>
            </w:pPr>
          </w:p>
        </w:tc>
      </w:tr>
      <w:tr w:rsidR="00CD74FD" w:rsidRPr="00CD74FD" w:rsidTr="00810EA8">
        <w:tc>
          <w:tcPr>
            <w:tcW w:w="3120" w:type="dxa"/>
          </w:tcPr>
          <w:p w:rsidR="00CD6884" w:rsidRPr="00CD74FD" w:rsidRDefault="00CD6884" w:rsidP="00810E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74FD">
              <w:rPr>
                <w:rFonts w:ascii="Times New Roman" w:hAnsi="Times New Roman" w:cs="Times New Roman"/>
                <w:b/>
              </w:rPr>
              <w:t>Destek Unsuru</w:t>
            </w:r>
          </w:p>
        </w:tc>
        <w:tc>
          <w:tcPr>
            <w:tcW w:w="7371" w:type="dxa"/>
          </w:tcPr>
          <w:p w:rsidR="00CD6884" w:rsidRPr="00CD74FD" w:rsidRDefault="00CD6884" w:rsidP="00810E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74FD">
              <w:rPr>
                <w:rFonts w:ascii="Times New Roman" w:hAnsi="Times New Roman" w:cs="Times New Roman"/>
                <w:b/>
              </w:rPr>
              <w:t>Kapsam</w:t>
            </w: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Sürdürülebilirlik Mevcut Durum Analizi </w:t>
            </w:r>
          </w:p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06F6B" w:rsidRPr="00CD74FD" w:rsidRDefault="00F06F6B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Firmanın kurumsal sürdürülebilirlik seviyesinin tespiti ve raporlanması</w:t>
            </w:r>
            <w:r w:rsidR="008A3AE3" w:rsidRPr="00CD74FD">
              <w:rPr>
                <w:rFonts w:ascii="Times New Roman" w:hAnsi="Times New Roman" w:cs="Times New Roman"/>
              </w:rPr>
              <w:t>na ilişkin danışmanlık giderleri</w:t>
            </w: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F06F6B" w:rsidRPr="00CD74FD" w:rsidRDefault="00F06F6B" w:rsidP="00D00A22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Kurumsal Sürdürülebilirlik Stratejisi </w:t>
            </w:r>
          </w:p>
          <w:p w:rsidR="00B61D8E" w:rsidRPr="00CD74FD" w:rsidRDefault="00B61D8E" w:rsidP="00D00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06F6B" w:rsidRPr="00CD74FD" w:rsidRDefault="00CC578D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Firmanın kurumsal sürdürülebilirli</w:t>
            </w:r>
            <w:r w:rsidR="00D214D1" w:rsidRPr="00CD74FD">
              <w:rPr>
                <w:rFonts w:ascii="Times New Roman" w:hAnsi="Times New Roman" w:cs="Times New Roman"/>
              </w:rPr>
              <w:t>ğine yönelik stratejiler geliştirilmesi</w:t>
            </w:r>
            <w:r w:rsidR="007159BF" w:rsidRPr="00CD74FD">
              <w:rPr>
                <w:rFonts w:ascii="Times New Roman" w:hAnsi="Times New Roman" w:cs="Times New Roman"/>
              </w:rPr>
              <w:t xml:space="preserve">ne </w:t>
            </w:r>
            <w:r w:rsidR="00D214D1" w:rsidRPr="00CD74FD">
              <w:rPr>
                <w:rFonts w:ascii="Times New Roman" w:hAnsi="Times New Roman" w:cs="Times New Roman"/>
              </w:rPr>
              <w:t>yönelik danışmanlık giderleri</w:t>
            </w: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D00A22" w:rsidRPr="00CD74FD" w:rsidRDefault="00D00A22" w:rsidP="00D00A22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Sürdürülebilirlik Odaklı İş Modeli </w:t>
            </w:r>
          </w:p>
          <w:p w:rsidR="00D00A22" w:rsidRPr="00CD74FD" w:rsidRDefault="00D00A22" w:rsidP="00D00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D00A22" w:rsidRPr="00CD74FD" w:rsidRDefault="007159BF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Mevcut iş modelinin sürdürülebilir hale getirilmesine yönelik aldığı danışmanlık giderleri</w:t>
            </w: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8A3AE3" w:rsidRPr="00CD74FD" w:rsidRDefault="008A3AE3" w:rsidP="008A3AE3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Sürdürülebilir Ürün Geliştirme </w:t>
            </w:r>
          </w:p>
          <w:p w:rsidR="008A3AE3" w:rsidRPr="00CD74FD" w:rsidRDefault="008A3AE3" w:rsidP="00F0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A3AE3" w:rsidRPr="00CD74FD" w:rsidRDefault="00953E16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Firmanın </w:t>
            </w:r>
            <w:r w:rsidR="00B61D8E" w:rsidRPr="00CD74FD">
              <w:rPr>
                <w:rFonts w:ascii="Times New Roman" w:hAnsi="Times New Roman" w:cs="Times New Roman"/>
              </w:rPr>
              <w:t xml:space="preserve">sürdürülebilir </w:t>
            </w:r>
            <w:r w:rsidRPr="00CD74FD">
              <w:rPr>
                <w:rFonts w:ascii="Times New Roman" w:hAnsi="Times New Roman" w:cs="Times New Roman"/>
              </w:rPr>
              <w:t>ürün geliştirme</w:t>
            </w:r>
            <w:r w:rsidR="00B61D8E" w:rsidRPr="00CD74FD">
              <w:rPr>
                <w:rFonts w:ascii="Times New Roman" w:hAnsi="Times New Roman" w:cs="Times New Roman"/>
              </w:rPr>
              <w:t xml:space="preserve">ye </w:t>
            </w:r>
            <w:r w:rsidR="001F77A5" w:rsidRPr="00CD74FD">
              <w:rPr>
                <w:rFonts w:ascii="Times New Roman" w:hAnsi="Times New Roman" w:cs="Times New Roman"/>
              </w:rPr>
              <w:t>ilişkin temin ettiği danışmanlık giderleri</w:t>
            </w:r>
          </w:p>
        </w:tc>
      </w:tr>
      <w:tr w:rsidR="00CD74FD" w:rsidRPr="00CD74FD" w:rsidTr="00281E3A">
        <w:tc>
          <w:tcPr>
            <w:tcW w:w="3120" w:type="dxa"/>
            <w:shd w:val="clear" w:color="auto" w:fill="auto"/>
            <w:vAlign w:val="center"/>
          </w:tcPr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Sürdürülebilir Satın Alma </w:t>
            </w:r>
          </w:p>
        </w:tc>
        <w:tc>
          <w:tcPr>
            <w:tcW w:w="7371" w:type="dxa"/>
          </w:tcPr>
          <w:p w:rsidR="00F06F6B" w:rsidRPr="00CD74FD" w:rsidRDefault="00F06F6B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Firmanın satın alma faaliyetlerini sürdürülebilir bir şekilde yönetmeye ilişkin danışmanlık giderleri </w:t>
            </w:r>
          </w:p>
          <w:p w:rsidR="00B61D8E" w:rsidRPr="00CD74FD" w:rsidRDefault="00B61D8E" w:rsidP="00F06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Sürdürülebilir Tedarik Zinciri</w:t>
            </w:r>
            <w:r w:rsidR="007159BF" w:rsidRPr="00CD74FD">
              <w:rPr>
                <w:rFonts w:ascii="Times New Roman" w:hAnsi="Times New Roman" w:cs="Times New Roman"/>
              </w:rPr>
              <w:t xml:space="preserve"> ve Kaynak Verimliliği</w:t>
            </w:r>
          </w:p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06F6B" w:rsidRPr="00CD74FD" w:rsidRDefault="00F06F6B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Firmanın tedarikçi seçimini sürdürülebilir politikalara dayandırarak tedarikçi seçim kriterlerinin ve prosedürlerinin firmanın çevresel</w:t>
            </w:r>
            <w:r w:rsidR="00B61D8E" w:rsidRPr="00CD74FD">
              <w:rPr>
                <w:rFonts w:ascii="Times New Roman" w:hAnsi="Times New Roman" w:cs="Times New Roman"/>
              </w:rPr>
              <w:t xml:space="preserve"> </w:t>
            </w:r>
            <w:r w:rsidRPr="00CD74FD">
              <w:rPr>
                <w:rFonts w:ascii="Times New Roman" w:hAnsi="Times New Roman" w:cs="Times New Roman"/>
              </w:rPr>
              <w:t xml:space="preserve">stratejisini yansıtacak şekilde belirlenmesine ilişkin danışmanlık giderleri </w:t>
            </w:r>
          </w:p>
          <w:p w:rsidR="00B61D8E" w:rsidRPr="00CD74FD" w:rsidRDefault="00B61D8E" w:rsidP="00F06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Çevresel Yönetim Sistemi </w:t>
            </w:r>
          </w:p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06F6B" w:rsidRPr="00CD74FD" w:rsidRDefault="000538FE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Çevre kirliliği ve etkilerine karşı </w:t>
            </w:r>
            <w:r w:rsidR="009B5E49" w:rsidRPr="00CD74FD">
              <w:rPr>
                <w:rFonts w:ascii="Times New Roman" w:hAnsi="Times New Roman" w:cs="Times New Roman"/>
              </w:rPr>
              <w:t>standartlar</w:t>
            </w:r>
            <w:r w:rsidR="00C05713" w:rsidRPr="00CD74FD">
              <w:rPr>
                <w:rFonts w:ascii="Times New Roman" w:hAnsi="Times New Roman" w:cs="Times New Roman"/>
              </w:rPr>
              <w:t>ın</w:t>
            </w:r>
            <w:r w:rsidR="009B5E49" w:rsidRPr="00CD74FD">
              <w:rPr>
                <w:rFonts w:ascii="Times New Roman" w:hAnsi="Times New Roman" w:cs="Times New Roman"/>
              </w:rPr>
              <w:t xml:space="preserve"> belirle</w:t>
            </w:r>
            <w:r w:rsidR="00236D1A" w:rsidRPr="00CD74FD">
              <w:rPr>
                <w:rFonts w:ascii="Times New Roman" w:hAnsi="Times New Roman" w:cs="Times New Roman"/>
              </w:rPr>
              <w:t>n</w:t>
            </w:r>
            <w:r w:rsidR="009B5E49" w:rsidRPr="00CD74FD">
              <w:rPr>
                <w:rFonts w:ascii="Times New Roman" w:hAnsi="Times New Roman" w:cs="Times New Roman"/>
              </w:rPr>
              <w:t>me</w:t>
            </w:r>
            <w:r w:rsidR="00C05713" w:rsidRPr="00CD74FD">
              <w:rPr>
                <w:rFonts w:ascii="Times New Roman" w:hAnsi="Times New Roman" w:cs="Times New Roman"/>
              </w:rPr>
              <w:t>si</w:t>
            </w:r>
            <w:r w:rsidR="009B5E49" w:rsidRPr="00CD74FD">
              <w:rPr>
                <w:rFonts w:ascii="Times New Roman" w:hAnsi="Times New Roman" w:cs="Times New Roman"/>
              </w:rPr>
              <w:t xml:space="preserve"> ve uygulanmasına ilişkin danışmanlık giderleri</w:t>
            </w:r>
          </w:p>
          <w:p w:rsidR="00B61D8E" w:rsidRPr="00CD74FD" w:rsidRDefault="00B61D8E" w:rsidP="00F06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Karbonsuzlaşma</w:t>
            </w:r>
            <w:r w:rsidR="00827915" w:rsidRPr="00CD74FD">
              <w:rPr>
                <w:rFonts w:ascii="Times New Roman" w:hAnsi="Times New Roman" w:cs="Times New Roman"/>
              </w:rPr>
              <w:t xml:space="preserve"> </w:t>
            </w:r>
            <w:r w:rsidRPr="00CD74FD">
              <w:rPr>
                <w:rFonts w:ascii="Times New Roman" w:hAnsi="Times New Roman" w:cs="Times New Roman"/>
              </w:rPr>
              <w:t>Yol Haritası</w:t>
            </w:r>
          </w:p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</w:p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06F6B" w:rsidRPr="00CD74FD" w:rsidRDefault="00B61D8E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Firmanın </w:t>
            </w:r>
            <w:r w:rsidR="00EC60BC" w:rsidRPr="00CD74FD">
              <w:rPr>
                <w:rFonts w:ascii="Times New Roman" w:hAnsi="Times New Roman" w:cs="Times New Roman"/>
              </w:rPr>
              <w:t xml:space="preserve">süreçlerinde ortaya çıkan </w:t>
            </w:r>
            <w:r w:rsidRPr="00CD74FD">
              <w:rPr>
                <w:rFonts w:ascii="Times New Roman" w:hAnsi="Times New Roman" w:cs="Times New Roman"/>
              </w:rPr>
              <w:t>karbon salınımının azaltılması</w:t>
            </w:r>
            <w:r w:rsidR="00EC60BC" w:rsidRPr="00CD74FD">
              <w:rPr>
                <w:rFonts w:ascii="Times New Roman" w:hAnsi="Times New Roman" w:cs="Times New Roman"/>
              </w:rPr>
              <w:t xml:space="preserve">na yönelik </w:t>
            </w:r>
            <w:r w:rsidR="00827915" w:rsidRPr="00CD74FD">
              <w:rPr>
                <w:rFonts w:ascii="Times New Roman" w:hAnsi="Times New Roman" w:cs="Times New Roman"/>
              </w:rPr>
              <w:t xml:space="preserve">alınan </w:t>
            </w:r>
            <w:r w:rsidR="00EC60BC" w:rsidRPr="00CD74FD">
              <w:rPr>
                <w:rFonts w:ascii="Times New Roman" w:hAnsi="Times New Roman" w:cs="Times New Roman"/>
              </w:rPr>
              <w:t>danışmanlık giderleri</w:t>
            </w: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D00A22" w:rsidRPr="00CD74FD" w:rsidRDefault="00D00A22" w:rsidP="00D00A22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Karbon Ayak izi Hesaplanması</w:t>
            </w:r>
          </w:p>
          <w:p w:rsidR="00F06F6B" w:rsidRPr="00CD74FD" w:rsidRDefault="00F06F6B" w:rsidP="00F0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06F6B" w:rsidRPr="00CD74FD" w:rsidRDefault="00BE5547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Firmanın süreçlerinde ortaya çıkan karbon ayak izinin hesaplanmasına yönelik alınan danışmanlık giderleri</w:t>
            </w:r>
          </w:p>
          <w:p w:rsidR="00BE5547" w:rsidRPr="00CD74FD" w:rsidRDefault="00BE5547" w:rsidP="00F06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EC60BC" w:rsidRPr="00CD74FD" w:rsidRDefault="00EC60BC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Su Ayak izi </w:t>
            </w:r>
          </w:p>
          <w:p w:rsidR="00F06F6B" w:rsidRPr="00CD74FD" w:rsidRDefault="00EC60BC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Hesaplanması</w:t>
            </w:r>
          </w:p>
          <w:p w:rsidR="00EC60BC" w:rsidRPr="00CD74FD" w:rsidRDefault="00EC60BC" w:rsidP="00F0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06F6B" w:rsidRPr="00CD74FD" w:rsidRDefault="00BE5547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Firmanın süreçlerinde kullanılan su ayak izinin hesaplanmasına ilişkin alınan danışmanlık giderleri</w:t>
            </w: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E71F5A" w:rsidRPr="00CD74FD" w:rsidRDefault="00E71F5A" w:rsidP="00F06F6B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06F6B" w:rsidRPr="00CD74FD" w:rsidRDefault="00BE5547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Sürdürülebilir Bilişim Danışmanlığı</w:t>
            </w:r>
          </w:p>
          <w:p w:rsidR="00EC60BC" w:rsidRPr="00CD74FD" w:rsidRDefault="00EC60BC" w:rsidP="00F0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27915" w:rsidRPr="00CD74FD" w:rsidRDefault="00827915" w:rsidP="00F06F6B">
            <w:pPr>
              <w:jc w:val="both"/>
              <w:rPr>
                <w:rFonts w:ascii="Times New Roman" w:hAnsi="Times New Roman" w:cs="Times New Roman"/>
              </w:rPr>
            </w:pPr>
          </w:p>
          <w:p w:rsidR="00F06F6B" w:rsidRPr="00CD74FD" w:rsidRDefault="00BE5547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Ürün ve süreçlerin sürdürülebilir olmasına yönelik alınan </w:t>
            </w:r>
            <w:r w:rsidR="00457905" w:rsidRPr="00CD74FD">
              <w:rPr>
                <w:rFonts w:ascii="Times New Roman" w:hAnsi="Times New Roman" w:cs="Times New Roman"/>
              </w:rPr>
              <w:t xml:space="preserve">bilişim </w:t>
            </w:r>
            <w:r w:rsidRPr="00CD74FD">
              <w:rPr>
                <w:rFonts w:ascii="Times New Roman" w:hAnsi="Times New Roman" w:cs="Times New Roman"/>
              </w:rPr>
              <w:t>danışmanlı</w:t>
            </w:r>
            <w:r w:rsidR="00141E30" w:rsidRPr="00CD74FD">
              <w:rPr>
                <w:rFonts w:ascii="Times New Roman" w:hAnsi="Times New Roman" w:cs="Times New Roman"/>
              </w:rPr>
              <w:t xml:space="preserve">ğı </w:t>
            </w:r>
            <w:r w:rsidRPr="00CD74FD">
              <w:rPr>
                <w:rFonts w:ascii="Times New Roman" w:hAnsi="Times New Roman" w:cs="Times New Roman"/>
              </w:rPr>
              <w:t>giderler</w:t>
            </w:r>
            <w:r w:rsidR="004E2C62" w:rsidRPr="00CD74FD">
              <w:rPr>
                <w:rFonts w:ascii="Times New Roman" w:hAnsi="Times New Roman" w:cs="Times New Roman"/>
              </w:rPr>
              <w:t>i</w:t>
            </w: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F06F6B" w:rsidRPr="00CD74FD" w:rsidRDefault="00E71F5A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Enerji Danışmanlığı</w:t>
            </w:r>
          </w:p>
          <w:p w:rsidR="00E71F5A" w:rsidRPr="00CD74FD" w:rsidRDefault="00E71F5A" w:rsidP="00F06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71F5A" w:rsidRPr="00CD74FD" w:rsidRDefault="00E71F5A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Firmanın kullandığı enerjinin daha sürdürülebilir hale getirilmesine yönelik aldığı danışmanlık giderleri</w:t>
            </w:r>
          </w:p>
          <w:p w:rsidR="00F06F6B" w:rsidRPr="00CD74FD" w:rsidRDefault="00E71F5A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F06F6B" w:rsidRPr="00CD74FD" w:rsidRDefault="00BE5547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Atık Yönetim Danışmanlığı</w:t>
            </w:r>
          </w:p>
        </w:tc>
        <w:tc>
          <w:tcPr>
            <w:tcW w:w="7371" w:type="dxa"/>
          </w:tcPr>
          <w:p w:rsidR="00F06F6B" w:rsidRPr="00CD74FD" w:rsidRDefault="00827915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Firmanın üretim süreçlerinde ortaya çıkan atıkların sürdürülebilirliğe uygun yönetimine ilişkin alınan danışmanlık giderleri</w:t>
            </w:r>
          </w:p>
          <w:p w:rsidR="00827915" w:rsidRPr="00CD74FD" w:rsidRDefault="00827915" w:rsidP="00F06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4FD" w:rsidRPr="00CD74FD" w:rsidTr="00810EA8">
        <w:tc>
          <w:tcPr>
            <w:tcW w:w="3120" w:type="dxa"/>
            <w:vAlign w:val="center"/>
          </w:tcPr>
          <w:p w:rsidR="00F06F6B" w:rsidRPr="00CD74FD" w:rsidRDefault="00827915" w:rsidP="00F06F6B">
            <w:pPr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>Kontrol, Doğrulama ve Raporlama Danışmanlığı</w:t>
            </w:r>
          </w:p>
        </w:tc>
        <w:tc>
          <w:tcPr>
            <w:tcW w:w="7371" w:type="dxa"/>
          </w:tcPr>
          <w:p w:rsidR="00F06F6B" w:rsidRPr="00CD74FD" w:rsidRDefault="00827915" w:rsidP="00F06F6B">
            <w:pPr>
              <w:jc w:val="both"/>
              <w:rPr>
                <w:rFonts w:ascii="Times New Roman" w:hAnsi="Times New Roman" w:cs="Times New Roman"/>
              </w:rPr>
            </w:pPr>
            <w:r w:rsidRPr="00CD74FD">
              <w:rPr>
                <w:rFonts w:ascii="Times New Roman" w:hAnsi="Times New Roman" w:cs="Times New Roman"/>
              </w:rPr>
              <w:t xml:space="preserve">Firmanın sürdürülebilirliğe ilişkin verilerinin kontrolüne, doğrulanmasına ve raporlanmasına yönelik alınan danışmanlık giderleri  </w:t>
            </w:r>
          </w:p>
          <w:p w:rsidR="00827915" w:rsidRPr="00CD74FD" w:rsidRDefault="00827915" w:rsidP="00F06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6884" w:rsidRPr="00CD74FD" w:rsidRDefault="00CD6884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2F3C9E" w:rsidRPr="00CD74FD" w:rsidRDefault="002F3C9E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2F3C9E" w:rsidRPr="00CD74FD" w:rsidRDefault="002F3C9E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2F3C9E" w:rsidRPr="00CD74FD" w:rsidRDefault="002F3C9E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2F3C9E" w:rsidRPr="00CD74FD" w:rsidRDefault="002F3C9E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2F3C9E" w:rsidRPr="00CD74FD" w:rsidRDefault="002F3C9E" w:rsidP="004C0095">
      <w:pPr>
        <w:ind w:left="-426" w:right="-425"/>
        <w:jc w:val="both"/>
        <w:rPr>
          <w:rFonts w:ascii="Times New Roman" w:hAnsi="Times New Roman" w:cs="Times New Roman"/>
        </w:rPr>
      </w:pPr>
    </w:p>
    <w:p w:rsidR="002F3C9E" w:rsidRPr="00CD74FD" w:rsidRDefault="002F3C9E" w:rsidP="002F3C9E">
      <w:pPr>
        <w:ind w:left="-426" w:right="-425"/>
        <w:jc w:val="both"/>
        <w:rPr>
          <w:rFonts w:ascii="Times New Roman" w:hAnsi="Times New Roman" w:cs="Times New Roman"/>
        </w:rPr>
      </w:pPr>
      <w:r w:rsidRPr="00CD74FD">
        <w:rPr>
          <w:rFonts w:ascii="Times New Roman" w:hAnsi="Times New Roman" w:cs="Times New Roman"/>
        </w:rPr>
        <w:t>* Yurt dışında yerleşik harcama yetkisi verilen şirket tarafından satın alınan veya faydalanıcısı münhasıran yurt dışında yerleşik harcama yetkisi verilen şirket olan danışmanlık harcamaları “EK-2B Münhasıran Hedef Pazarlara Yönelik Danışmanlık” listesi kapsamında desteklenir.</w:t>
      </w:r>
    </w:p>
    <w:sectPr w:rsidR="002F3C9E" w:rsidRPr="00CD74FD" w:rsidSect="00107F46">
      <w:footerReference w:type="default" r:id="rId8"/>
      <w:pgSz w:w="11906" w:h="16838"/>
      <w:pgMar w:top="709" w:right="849" w:bottom="0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E43" w:rsidRDefault="008B0E43" w:rsidP="005B2EF9">
      <w:pPr>
        <w:spacing w:after="0" w:line="240" w:lineRule="auto"/>
      </w:pPr>
      <w:r>
        <w:separator/>
      </w:r>
    </w:p>
  </w:endnote>
  <w:endnote w:type="continuationSeparator" w:id="0">
    <w:p w:rsidR="008B0E43" w:rsidRDefault="008B0E43" w:rsidP="005B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332905"/>
      <w:docPartObj>
        <w:docPartGallery w:val="Page Numbers (Bottom of Page)"/>
        <w:docPartUnique/>
      </w:docPartObj>
    </w:sdtPr>
    <w:sdtEndPr/>
    <w:sdtContent>
      <w:p w:rsidR="003143D4" w:rsidRDefault="003143D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30">
          <w:rPr>
            <w:noProof/>
          </w:rPr>
          <w:t>2</w:t>
        </w:r>
        <w:r>
          <w:fldChar w:fldCharType="end"/>
        </w:r>
      </w:p>
    </w:sdtContent>
  </w:sdt>
  <w:p w:rsidR="00DE7171" w:rsidRDefault="00DE71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E43" w:rsidRDefault="008B0E43" w:rsidP="005B2EF9">
      <w:pPr>
        <w:spacing w:after="0" w:line="240" w:lineRule="auto"/>
      </w:pPr>
      <w:r>
        <w:separator/>
      </w:r>
    </w:p>
  </w:footnote>
  <w:footnote w:type="continuationSeparator" w:id="0">
    <w:p w:rsidR="008B0E43" w:rsidRDefault="008B0E43" w:rsidP="005B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D9D"/>
    <w:multiLevelType w:val="hybridMultilevel"/>
    <w:tmpl w:val="FB360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97E"/>
    <w:multiLevelType w:val="multilevel"/>
    <w:tmpl w:val="59B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31E"/>
    <w:multiLevelType w:val="multilevel"/>
    <w:tmpl w:val="927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FCF"/>
    <w:multiLevelType w:val="multilevel"/>
    <w:tmpl w:val="21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52E7F"/>
    <w:multiLevelType w:val="hybridMultilevel"/>
    <w:tmpl w:val="294E0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2694"/>
    <w:multiLevelType w:val="multilevel"/>
    <w:tmpl w:val="7D5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70D2E"/>
    <w:multiLevelType w:val="hybridMultilevel"/>
    <w:tmpl w:val="89620B98"/>
    <w:lvl w:ilvl="0" w:tplc="E82C6B6C">
      <w:start w:val="1"/>
      <w:numFmt w:val="decimal"/>
      <w:lvlText w:val="%1-"/>
      <w:lvlJc w:val="left"/>
      <w:pPr>
        <w:ind w:left="3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55" w:hanging="360"/>
      </w:pPr>
    </w:lvl>
    <w:lvl w:ilvl="2" w:tplc="041F001B" w:tentative="1">
      <w:start w:val="1"/>
      <w:numFmt w:val="lowerRoman"/>
      <w:lvlText w:val="%3."/>
      <w:lvlJc w:val="right"/>
      <w:pPr>
        <w:ind w:left="5175" w:hanging="180"/>
      </w:pPr>
    </w:lvl>
    <w:lvl w:ilvl="3" w:tplc="041F000F" w:tentative="1">
      <w:start w:val="1"/>
      <w:numFmt w:val="decimal"/>
      <w:lvlText w:val="%4."/>
      <w:lvlJc w:val="left"/>
      <w:pPr>
        <w:ind w:left="5895" w:hanging="360"/>
      </w:pPr>
    </w:lvl>
    <w:lvl w:ilvl="4" w:tplc="041F0019" w:tentative="1">
      <w:start w:val="1"/>
      <w:numFmt w:val="lowerLetter"/>
      <w:lvlText w:val="%5."/>
      <w:lvlJc w:val="left"/>
      <w:pPr>
        <w:ind w:left="6615" w:hanging="360"/>
      </w:pPr>
    </w:lvl>
    <w:lvl w:ilvl="5" w:tplc="041F001B" w:tentative="1">
      <w:start w:val="1"/>
      <w:numFmt w:val="lowerRoman"/>
      <w:lvlText w:val="%6."/>
      <w:lvlJc w:val="right"/>
      <w:pPr>
        <w:ind w:left="7335" w:hanging="180"/>
      </w:pPr>
    </w:lvl>
    <w:lvl w:ilvl="6" w:tplc="041F000F" w:tentative="1">
      <w:start w:val="1"/>
      <w:numFmt w:val="decimal"/>
      <w:lvlText w:val="%7."/>
      <w:lvlJc w:val="left"/>
      <w:pPr>
        <w:ind w:left="8055" w:hanging="360"/>
      </w:pPr>
    </w:lvl>
    <w:lvl w:ilvl="7" w:tplc="041F0019" w:tentative="1">
      <w:start w:val="1"/>
      <w:numFmt w:val="lowerLetter"/>
      <w:lvlText w:val="%8."/>
      <w:lvlJc w:val="left"/>
      <w:pPr>
        <w:ind w:left="8775" w:hanging="360"/>
      </w:pPr>
    </w:lvl>
    <w:lvl w:ilvl="8" w:tplc="041F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7" w15:restartNumberingAfterBreak="0">
    <w:nsid w:val="247D1284"/>
    <w:multiLevelType w:val="hybridMultilevel"/>
    <w:tmpl w:val="ED42A2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12210"/>
    <w:multiLevelType w:val="hybridMultilevel"/>
    <w:tmpl w:val="3FEA3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6331"/>
    <w:multiLevelType w:val="hybridMultilevel"/>
    <w:tmpl w:val="431CD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42E2E"/>
    <w:multiLevelType w:val="multilevel"/>
    <w:tmpl w:val="CCB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A4C74"/>
    <w:multiLevelType w:val="hybridMultilevel"/>
    <w:tmpl w:val="6A6E9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C26A8"/>
    <w:multiLevelType w:val="hybridMultilevel"/>
    <w:tmpl w:val="49AE1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356EE"/>
    <w:multiLevelType w:val="multilevel"/>
    <w:tmpl w:val="4B98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106F1"/>
    <w:multiLevelType w:val="hybridMultilevel"/>
    <w:tmpl w:val="F3CA3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C4C3D"/>
    <w:multiLevelType w:val="hybridMultilevel"/>
    <w:tmpl w:val="F97E0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602F0"/>
    <w:multiLevelType w:val="hybridMultilevel"/>
    <w:tmpl w:val="BFD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6D31"/>
    <w:multiLevelType w:val="hybridMultilevel"/>
    <w:tmpl w:val="89620B98"/>
    <w:lvl w:ilvl="0" w:tplc="E82C6B6C">
      <w:start w:val="1"/>
      <w:numFmt w:val="decimal"/>
      <w:lvlText w:val="%1-"/>
      <w:lvlJc w:val="left"/>
      <w:pPr>
        <w:ind w:left="3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55" w:hanging="360"/>
      </w:pPr>
    </w:lvl>
    <w:lvl w:ilvl="2" w:tplc="041F001B" w:tentative="1">
      <w:start w:val="1"/>
      <w:numFmt w:val="lowerRoman"/>
      <w:lvlText w:val="%3."/>
      <w:lvlJc w:val="right"/>
      <w:pPr>
        <w:ind w:left="5175" w:hanging="180"/>
      </w:pPr>
    </w:lvl>
    <w:lvl w:ilvl="3" w:tplc="041F000F" w:tentative="1">
      <w:start w:val="1"/>
      <w:numFmt w:val="decimal"/>
      <w:lvlText w:val="%4."/>
      <w:lvlJc w:val="left"/>
      <w:pPr>
        <w:ind w:left="5895" w:hanging="360"/>
      </w:pPr>
    </w:lvl>
    <w:lvl w:ilvl="4" w:tplc="041F0019" w:tentative="1">
      <w:start w:val="1"/>
      <w:numFmt w:val="lowerLetter"/>
      <w:lvlText w:val="%5."/>
      <w:lvlJc w:val="left"/>
      <w:pPr>
        <w:ind w:left="6615" w:hanging="360"/>
      </w:pPr>
    </w:lvl>
    <w:lvl w:ilvl="5" w:tplc="041F001B" w:tentative="1">
      <w:start w:val="1"/>
      <w:numFmt w:val="lowerRoman"/>
      <w:lvlText w:val="%6."/>
      <w:lvlJc w:val="right"/>
      <w:pPr>
        <w:ind w:left="7335" w:hanging="180"/>
      </w:pPr>
    </w:lvl>
    <w:lvl w:ilvl="6" w:tplc="041F000F" w:tentative="1">
      <w:start w:val="1"/>
      <w:numFmt w:val="decimal"/>
      <w:lvlText w:val="%7."/>
      <w:lvlJc w:val="left"/>
      <w:pPr>
        <w:ind w:left="8055" w:hanging="360"/>
      </w:pPr>
    </w:lvl>
    <w:lvl w:ilvl="7" w:tplc="041F0019" w:tentative="1">
      <w:start w:val="1"/>
      <w:numFmt w:val="lowerLetter"/>
      <w:lvlText w:val="%8."/>
      <w:lvlJc w:val="left"/>
      <w:pPr>
        <w:ind w:left="8775" w:hanging="360"/>
      </w:pPr>
    </w:lvl>
    <w:lvl w:ilvl="8" w:tplc="041F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8" w15:restartNumberingAfterBreak="0">
    <w:nsid w:val="58AB61DE"/>
    <w:multiLevelType w:val="hybridMultilevel"/>
    <w:tmpl w:val="B2D07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55645"/>
    <w:multiLevelType w:val="multilevel"/>
    <w:tmpl w:val="A5A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65FFB"/>
    <w:multiLevelType w:val="multilevel"/>
    <w:tmpl w:val="C820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87521"/>
    <w:multiLevelType w:val="multilevel"/>
    <w:tmpl w:val="74A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03F79"/>
    <w:multiLevelType w:val="multilevel"/>
    <w:tmpl w:val="A45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A77103"/>
    <w:multiLevelType w:val="multilevel"/>
    <w:tmpl w:val="BAA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992EF7"/>
    <w:multiLevelType w:val="hybridMultilevel"/>
    <w:tmpl w:val="CEF63682"/>
    <w:lvl w:ilvl="0" w:tplc="DE0C0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D3E91"/>
    <w:multiLevelType w:val="multilevel"/>
    <w:tmpl w:val="0C4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</w:num>
  <w:num w:numId="5">
    <w:abstractNumId w:val="25"/>
  </w:num>
  <w:num w:numId="6">
    <w:abstractNumId w:val="20"/>
  </w:num>
  <w:num w:numId="7">
    <w:abstractNumId w:val="15"/>
  </w:num>
  <w:num w:numId="8">
    <w:abstractNumId w:val="12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2"/>
  </w:num>
  <w:num w:numId="18">
    <w:abstractNumId w:val="13"/>
  </w:num>
  <w:num w:numId="19">
    <w:abstractNumId w:val="16"/>
  </w:num>
  <w:num w:numId="20">
    <w:abstractNumId w:val="0"/>
  </w:num>
  <w:num w:numId="21">
    <w:abstractNumId w:val="9"/>
  </w:num>
  <w:num w:numId="22">
    <w:abstractNumId w:val="14"/>
  </w:num>
  <w:num w:numId="23">
    <w:abstractNumId w:val="24"/>
  </w:num>
  <w:num w:numId="24">
    <w:abstractNumId w:val="7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F9"/>
    <w:rsid w:val="00000A0E"/>
    <w:rsid w:val="000045D8"/>
    <w:rsid w:val="00015D8F"/>
    <w:rsid w:val="000313EC"/>
    <w:rsid w:val="00031B88"/>
    <w:rsid w:val="00034BD0"/>
    <w:rsid w:val="00041E78"/>
    <w:rsid w:val="00043833"/>
    <w:rsid w:val="0004691D"/>
    <w:rsid w:val="000538FE"/>
    <w:rsid w:val="000544D2"/>
    <w:rsid w:val="000567DC"/>
    <w:rsid w:val="00061C66"/>
    <w:rsid w:val="00064609"/>
    <w:rsid w:val="00066E87"/>
    <w:rsid w:val="00071A2A"/>
    <w:rsid w:val="00072CF2"/>
    <w:rsid w:val="00073CD5"/>
    <w:rsid w:val="0007401B"/>
    <w:rsid w:val="00095BED"/>
    <w:rsid w:val="000D49E7"/>
    <w:rsid w:val="000D7ADD"/>
    <w:rsid w:val="000F667C"/>
    <w:rsid w:val="001060B9"/>
    <w:rsid w:val="00107CEB"/>
    <w:rsid w:val="00107F46"/>
    <w:rsid w:val="00112A7C"/>
    <w:rsid w:val="001152BA"/>
    <w:rsid w:val="00115686"/>
    <w:rsid w:val="00116C5E"/>
    <w:rsid w:val="00130A34"/>
    <w:rsid w:val="0013688A"/>
    <w:rsid w:val="00141E30"/>
    <w:rsid w:val="00160C35"/>
    <w:rsid w:val="00161777"/>
    <w:rsid w:val="00171D9E"/>
    <w:rsid w:val="001726A1"/>
    <w:rsid w:val="00194E6D"/>
    <w:rsid w:val="001C1593"/>
    <w:rsid w:val="001D2EF6"/>
    <w:rsid w:val="001D5465"/>
    <w:rsid w:val="001F3F19"/>
    <w:rsid w:val="001F69B6"/>
    <w:rsid w:val="001F6FBA"/>
    <w:rsid w:val="001F77A5"/>
    <w:rsid w:val="00204187"/>
    <w:rsid w:val="00207622"/>
    <w:rsid w:val="00235377"/>
    <w:rsid w:val="00236D1A"/>
    <w:rsid w:val="002442C4"/>
    <w:rsid w:val="002452AF"/>
    <w:rsid w:val="00246D2C"/>
    <w:rsid w:val="00255A61"/>
    <w:rsid w:val="00263C16"/>
    <w:rsid w:val="00271D91"/>
    <w:rsid w:val="002737E8"/>
    <w:rsid w:val="00281E3A"/>
    <w:rsid w:val="00283011"/>
    <w:rsid w:val="002A1287"/>
    <w:rsid w:val="002B2A5F"/>
    <w:rsid w:val="002E18F6"/>
    <w:rsid w:val="002E20FA"/>
    <w:rsid w:val="002E43AC"/>
    <w:rsid w:val="002F2336"/>
    <w:rsid w:val="002F3C9E"/>
    <w:rsid w:val="002F4250"/>
    <w:rsid w:val="003000E7"/>
    <w:rsid w:val="003143D4"/>
    <w:rsid w:val="00321197"/>
    <w:rsid w:val="003251A1"/>
    <w:rsid w:val="003550F8"/>
    <w:rsid w:val="0037114C"/>
    <w:rsid w:val="00372157"/>
    <w:rsid w:val="00383577"/>
    <w:rsid w:val="00383840"/>
    <w:rsid w:val="003838E5"/>
    <w:rsid w:val="00392BF8"/>
    <w:rsid w:val="003B538C"/>
    <w:rsid w:val="003B76F9"/>
    <w:rsid w:val="003C17C9"/>
    <w:rsid w:val="003C186D"/>
    <w:rsid w:val="004050A7"/>
    <w:rsid w:val="00440AC1"/>
    <w:rsid w:val="0044473D"/>
    <w:rsid w:val="00455010"/>
    <w:rsid w:val="00457905"/>
    <w:rsid w:val="004738DF"/>
    <w:rsid w:val="004840C8"/>
    <w:rsid w:val="004843F4"/>
    <w:rsid w:val="004A0DE1"/>
    <w:rsid w:val="004B7FDE"/>
    <w:rsid w:val="004C0095"/>
    <w:rsid w:val="004E2C62"/>
    <w:rsid w:val="004F1955"/>
    <w:rsid w:val="004F70F2"/>
    <w:rsid w:val="00517E8A"/>
    <w:rsid w:val="00532FF3"/>
    <w:rsid w:val="0054106E"/>
    <w:rsid w:val="00557133"/>
    <w:rsid w:val="0056646A"/>
    <w:rsid w:val="0057387D"/>
    <w:rsid w:val="00574B4D"/>
    <w:rsid w:val="00582F94"/>
    <w:rsid w:val="00595BC8"/>
    <w:rsid w:val="005A3EEE"/>
    <w:rsid w:val="005A5445"/>
    <w:rsid w:val="005A7EED"/>
    <w:rsid w:val="005B2EF9"/>
    <w:rsid w:val="005C66F0"/>
    <w:rsid w:val="005E2B8D"/>
    <w:rsid w:val="005F14DC"/>
    <w:rsid w:val="00620182"/>
    <w:rsid w:val="00660555"/>
    <w:rsid w:val="006743D4"/>
    <w:rsid w:val="0069122B"/>
    <w:rsid w:val="00691279"/>
    <w:rsid w:val="00693259"/>
    <w:rsid w:val="00696165"/>
    <w:rsid w:val="006C0686"/>
    <w:rsid w:val="006C1C82"/>
    <w:rsid w:val="00701038"/>
    <w:rsid w:val="00714398"/>
    <w:rsid w:val="007159BF"/>
    <w:rsid w:val="00717C82"/>
    <w:rsid w:val="00722F98"/>
    <w:rsid w:val="00730243"/>
    <w:rsid w:val="00741514"/>
    <w:rsid w:val="007679C1"/>
    <w:rsid w:val="00777AD1"/>
    <w:rsid w:val="00787ACD"/>
    <w:rsid w:val="00791D5C"/>
    <w:rsid w:val="007966D1"/>
    <w:rsid w:val="007A1BE0"/>
    <w:rsid w:val="007A7E53"/>
    <w:rsid w:val="007B07AF"/>
    <w:rsid w:val="007B2B75"/>
    <w:rsid w:val="007D6929"/>
    <w:rsid w:val="007D717A"/>
    <w:rsid w:val="007E3270"/>
    <w:rsid w:val="007F7652"/>
    <w:rsid w:val="008014CF"/>
    <w:rsid w:val="00814999"/>
    <w:rsid w:val="00815353"/>
    <w:rsid w:val="0081681E"/>
    <w:rsid w:val="00826C58"/>
    <w:rsid w:val="00827915"/>
    <w:rsid w:val="00853F22"/>
    <w:rsid w:val="00864547"/>
    <w:rsid w:val="00874E89"/>
    <w:rsid w:val="00891472"/>
    <w:rsid w:val="0089423C"/>
    <w:rsid w:val="00894690"/>
    <w:rsid w:val="008A3AE3"/>
    <w:rsid w:val="008B0C3C"/>
    <w:rsid w:val="008B0E43"/>
    <w:rsid w:val="008C34C1"/>
    <w:rsid w:val="008C54DB"/>
    <w:rsid w:val="008E00CA"/>
    <w:rsid w:val="008E10E2"/>
    <w:rsid w:val="009061A9"/>
    <w:rsid w:val="00907268"/>
    <w:rsid w:val="00943735"/>
    <w:rsid w:val="00953E16"/>
    <w:rsid w:val="009678D5"/>
    <w:rsid w:val="009812C3"/>
    <w:rsid w:val="00983FE4"/>
    <w:rsid w:val="00991132"/>
    <w:rsid w:val="00993370"/>
    <w:rsid w:val="009A0BF3"/>
    <w:rsid w:val="009A273F"/>
    <w:rsid w:val="009B2A86"/>
    <w:rsid w:val="009B4570"/>
    <w:rsid w:val="009B5E49"/>
    <w:rsid w:val="009C2A1E"/>
    <w:rsid w:val="009D371F"/>
    <w:rsid w:val="009E13F0"/>
    <w:rsid w:val="00A02BA7"/>
    <w:rsid w:val="00A23F96"/>
    <w:rsid w:val="00A31B78"/>
    <w:rsid w:val="00A32EDE"/>
    <w:rsid w:val="00A44BCF"/>
    <w:rsid w:val="00A45D6C"/>
    <w:rsid w:val="00A47E01"/>
    <w:rsid w:val="00A54E1C"/>
    <w:rsid w:val="00A752B7"/>
    <w:rsid w:val="00A84A4D"/>
    <w:rsid w:val="00A94471"/>
    <w:rsid w:val="00AA0346"/>
    <w:rsid w:val="00AB0FCA"/>
    <w:rsid w:val="00AC1B41"/>
    <w:rsid w:val="00AF31A7"/>
    <w:rsid w:val="00AF523A"/>
    <w:rsid w:val="00B51703"/>
    <w:rsid w:val="00B61D8E"/>
    <w:rsid w:val="00B67C14"/>
    <w:rsid w:val="00B802D0"/>
    <w:rsid w:val="00B81679"/>
    <w:rsid w:val="00BB2F1B"/>
    <w:rsid w:val="00BD3E4A"/>
    <w:rsid w:val="00BE157B"/>
    <w:rsid w:val="00BE1F5D"/>
    <w:rsid w:val="00BE5547"/>
    <w:rsid w:val="00BF7B55"/>
    <w:rsid w:val="00C00E3C"/>
    <w:rsid w:val="00C02EAC"/>
    <w:rsid w:val="00C05713"/>
    <w:rsid w:val="00C1781D"/>
    <w:rsid w:val="00C201AB"/>
    <w:rsid w:val="00C31CDD"/>
    <w:rsid w:val="00C3574A"/>
    <w:rsid w:val="00C4318D"/>
    <w:rsid w:val="00C457F5"/>
    <w:rsid w:val="00C56478"/>
    <w:rsid w:val="00C619D6"/>
    <w:rsid w:val="00C67CAE"/>
    <w:rsid w:val="00C7463D"/>
    <w:rsid w:val="00C86FBF"/>
    <w:rsid w:val="00C91FD8"/>
    <w:rsid w:val="00CA4435"/>
    <w:rsid w:val="00CA795C"/>
    <w:rsid w:val="00CC578D"/>
    <w:rsid w:val="00CD4314"/>
    <w:rsid w:val="00CD431B"/>
    <w:rsid w:val="00CD545C"/>
    <w:rsid w:val="00CD667B"/>
    <w:rsid w:val="00CD6884"/>
    <w:rsid w:val="00CD74FD"/>
    <w:rsid w:val="00CF50FE"/>
    <w:rsid w:val="00D00A22"/>
    <w:rsid w:val="00D05323"/>
    <w:rsid w:val="00D20171"/>
    <w:rsid w:val="00D214D1"/>
    <w:rsid w:val="00D23750"/>
    <w:rsid w:val="00D25738"/>
    <w:rsid w:val="00D30EDA"/>
    <w:rsid w:val="00D476EF"/>
    <w:rsid w:val="00D47979"/>
    <w:rsid w:val="00D61504"/>
    <w:rsid w:val="00D61D5B"/>
    <w:rsid w:val="00D632BA"/>
    <w:rsid w:val="00D6495A"/>
    <w:rsid w:val="00D6743E"/>
    <w:rsid w:val="00D7174A"/>
    <w:rsid w:val="00D8794A"/>
    <w:rsid w:val="00DA7560"/>
    <w:rsid w:val="00DB3C24"/>
    <w:rsid w:val="00DC56AC"/>
    <w:rsid w:val="00DC7B0D"/>
    <w:rsid w:val="00DD34E1"/>
    <w:rsid w:val="00DD34F6"/>
    <w:rsid w:val="00DE7171"/>
    <w:rsid w:val="00E07175"/>
    <w:rsid w:val="00E42332"/>
    <w:rsid w:val="00E43FC1"/>
    <w:rsid w:val="00E64B08"/>
    <w:rsid w:val="00E6593E"/>
    <w:rsid w:val="00E70383"/>
    <w:rsid w:val="00E71F5A"/>
    <w:rsid w:val="00E76709"/>
    <w:rsid w:val="00E872C3"/>
    <w:rsid w:val="00E87DD0"/>
    <w:rsid w:val="00EA51FD"/>
    <w:rsid w:val="00EB1E13"/>
    <w:rsid w:val="00EC14C3"/>
    <w:rsid w:val="00EC60BC"/>
    <w:rsid w:val="00ED7715"/>
    <w:rsid w:val="00EE124B"/>
    <w:rsid w:val="00EE6430"/>
    <w:rsid w:val="00EF15B9"/>
    <w:rsid w:val="00EF3CC9"/>
    <w:rsid w:val="00EF45E0"/>
    <w:rsid w:val="00F06F6B"/>
    <w:rsid w:val="00F3502C"/>
    <w:rsid w:val="00F43FC0"/>
    <w:rsid w:val="00F55EEA"/>
    <w:rsid w:val="00F67208"/>
    <w:rsid w:val="00F72057"/>
    <w:rsid w:val="00F751C2"/>
    <w:rsid w:val="00F93FE4"/>
    <w:rsid w:val="00FB3B7F"/>
    <w:rsid w:val="00FC24D8"/>
    <w:rsid w:val="00FF4367"/>
    <w:rsid w:val="00FF661B"/>
    <w:rsid w:val="00FF795C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413696C-4FF9-464C-B7C7-2D70D1C4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EF9"/>
  </w:style>
  <w:style w:type="paragraph" w:styleId="AltBilgi">
    <w:name w:val="footer"/>
    <w:basedOn w:val="Normal"/>
    <w:link w:val="AltBilgiChar"/>
    <w:uiPriority w:val="99"/>
    <w:unhideWhenUsed/>
    <w:rsid w:val="005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EF9"/>
  </w:style>
  <w:style w:type="character" w:customStyle="1" w:styleId="apple-converted-space">
    <w:name w:val="apple-converted-space"/>
    <w:basedOn w:val="VarsaylanParagrafYazTipi"/>
    <w:rsid w:val="009E13F0"/>
  </w:style>
  <w:style w:type="character" w:styleId="Gl">
    <w:name w:val="Strong"/>
    <w:basedOn w:val="VarsaylanParagrafYazTipi"/>
    <w:uiPriority w:val="22"/>
    <w:qFormat/>
    <w:rsid w:val="009E13F0"/>
    <w:rPr>
      <w:b/>
      <w:bCs/>
    </w:rPr>
  </w:style>
  <w:style w:type="paragraph" w:styleId="ListeParagraf">
    <w:name w:val="List Paragraph"/>
    <w:basedOn w:val="Normal"/>
    <w:uiPriority w:val="34"/>
    <w:qFormat/>
    <w:rsid w:val="001617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3A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F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6899-883E-40BE-A42D-FD4BC018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Soylu GÜLDALI</dc:creator>
  <cp:keywords/>
  <dc:description/>
  <cp:lastModifiedBy>Barış Zeybek</cp:lastModifiedBy>
  <cp:revision>44</cp:revision>
  <cp:lastPrinted>2022-09-21T10:39:00Z</cp:lastPrinted>
  <dcterms:created xsi:type="dcterms:W3CDTF">2018-02-19T11:46:00Z</dcterms:created>
  <dcterms:modified xsi:type="dcterms:W3CDTF">2022-10-07T08:58:00Z</dcterms:modified>
</cp:coreProperties>
</file>