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523" w:rsidRPr="00606402" w:rsidRDefault="00673523" w:rsidP="00A57A1E">
      <w:pPr>
        <w:pStyle w:val="AralkYok"/>
        <w:jc w:val="center"/>
        <w:rPr>
          <w:rFonts w:ascii="Times New Roman" w:hAnsi="Times New Roman" w:cs="Times New Roman"/>
          <w:b/>
          <w:sz w:val="24"/>
        </w:rPr>
      </w:pPr>
      <w:r w:rsidRPr="00606402">
        <w:rPr>
          <w:rFonts w:ascii="Times New Roman" w:hAnsi="Times New Roman" w:cs="Times New Roman"/>
          <w:b/>
          <w:sz w:val="24"/>
        </w:rPr>
        <w:t>İTHALAT KONTROL SİSTEMİ</w:t>
      </w:r>
      <w:r w:rsidR="00A57A1E" w:rsidRPr="00606402">
        <w:rPr>
          <w:rFonts w:ascii="Times New Roman" w:hAnsi="Times New Roman" w:cs="Times New Roman"/>
          <w:b/>
          <w:sz w:val="24"/>
        </w:rPr>
        <w:t xml:space="preserve"> 2</w:t>
      </w:r>
    </w:p>
    <w:p w:rsidR="00673523" w:rsidRPr="00606402" w:rsidRDefault="00673523" w:rsidP="00A57A1E">
      <w:pPr>
        <w:pStyle w:val="AralkYok"/>
        <w:jc w:val="center"/>
        <w:rPr>
          <w:rFonts w:ascii="Times New Roman" w:hAnsi="Times New Roman" w:cs="Times New Roman"/>
          <w:b/>
          <w:sz w:val="24"/>
        </w:rPr>
      </w:pPr>
      <w:r w:rsidRPr="00606402">
        <w:rPr>
          <w:rFonts w:ascii="Times New Roman" w:hAnsi="Times New Roman" w:cs="Times New Roman"/>
          <w:b/>
          <w:sz w:val="24"/>
        </w:rPr>
        <w:t>(IMPORT CONTROL SYSTEM, ICS2)</w:t>
      </w:r>
    </w:p>
    <w:p w:rsidR="00A57A1E" w:rsidRPr="00A57A1E" w:rsidRDefault="00A57A1E" w:rsidP="00A57A1E">
      <w:pPr>
        <w:pStyle w:val="AralkYok"/>
        <w:jc w:val="center"/>
        <w:rPr>
          <w:rFonts w:ascii="Times New Roman" w:hAnsi="Times New Roman" w:cs="Times New Roman"/>
          <w:sz w:val="24"/>
        </w:rPr>
      </w:pPr>
    </w:p>
    <w:p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Avrupa Birliği (AB), hayata geçirdiği İthalat Kontrol Sistemi (</w:t>
      </w:r>
      <w:proofErr w:type="spellStart"/>
      <w:r w:rsidRPr="00673523">
        <w:rPr>
          <w:rFonts w:ascii="Times New Roman" w:hAnsi="Times New Roman" w:cs="Times New Roman"/>
          <w:sz w:val="24"/>
          <w:szCs w:val="24"/>
        </w:rPr>
        <w:t>Import</w:t>
      </w:r>
      <w:proofErr w:type="spellEnd"/>
      <w:r w:rsidRPr="00673523">
        <w:rPr>
          <w:rFonts w:ascii="Times New Roman" w:hAnsi="Times New Roman" w:cs="Times New Roman"/>
          <w:sz w:val="24"/>
          <w:szCs w:val="24"/>
        </w:rPr>
        <w:t xml:space="preserve"> Control </w:t>
      </w:r>
      <w:proofErr w:type="spellStart"/>
      <w:r w:rsidRPr="00673523">
        <w:rPr>
          <w:rFonts w:ascii="Times New Roman" w:hAnsi="Times New Roman" w:cs="Times New Roman"/>
          <w:sz w:val="24"/>
          <w:szCs w:val="24"/>
        </w:rPr>
        <w:t>System</w:t>
      </w:r>
      <w:proofErr w:type="spellEnd"/>
      <w:r w:rsidRPr="00673523">
        <w:rPr>
          <w:rFonts w:ascii="Times New Roman" w:hAnsi="Times New Roman" w:cs="Times New Roman"/>
          <w:sz w:val="24"/>
          <w:szCs w:val="24"/>
        </w:rPr>
        <w:t>, ICS2) aracılığıyla gümrük idareleri ve ekonomik operatörler arasındaki bilgi değişimi ve depolama işlemlerini elektronik ortamda gerçekleştirmeyi hedeflemektedir. </w:t>
      </w:r>
    </w:p>
    <w:p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ICS2 sistemi, ekonomik operatörlerin AB’ye doğrudan veya AB’den transit şekilde üçüncü ülkelere gerçekleştirilecek sevkiyatlarına ilişkin bilgi ve verilerin Yükleme Öncesi Kargo Bilgisi (PLACI) ve varış öncesi Giriş Özet Beyanları (ENS) aracılığıyla AB Gümrük İdareleri’ne sunulmasını gerekli kılan bir elektronik gümrük sistemidir.</w:t>
      </w:r>
      <w:bookmarkStart w:id="0" w:name="_GoBack"/>
      <w:bookmarkEnd w:id="0"/>
    </w:p>
    <w:p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 ile kargo ve taşımaya ilişkin risk analizinin gerçekleştirilip güvenliğe ilişkin tehditlerin önlenebilmesi, uluslararası gümrük işlemlerinin kolaylaşması ve ekonomik operatörler ve AB Gümrük İdareleri arasındaki bilgi alışverişinin basitleşmesi amaçlanmaktadır. </w:t>
      </w:r>
    </w:p>
    <w:p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Sistemden pek çok ticari aktör etkilenecek olup, AB sınırları içinde ve dışında posta operatörleri, ekspres kargo taşımacılığı, havayolu kargo taşımacılığı, denizyolu, demiryolu ve karayolu taşımacılığı, AB sınırları dahilinde belirli son alıcılar, lojistik firmaları bu aktörler arasında yer almaktadır. Bu yönüyle, doğrudan AB’ye veya AB’den transit olarak başka bir ülkeye eşya gönderen Birlik dışındaki, Türkiye dahil, tüm ihracatçılar sistemden etkilenecektir.</w:t>
      </w:r>
    </w:p>
    <w:p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 kapsamında, AB’nin ihtiyaç duyduğu verilerin girilmemesi halinde, taşımaya ilişkin işlemler AB sınırında durdurulup, eşyanın gümrük işlemleri yapılmayacak, yetersiz beyanlar reddedilecek ya da ticaret akışını sekteye uğratacak tedbirler söz konusu olabilecektir.</w:t>
      </w:r>
    </w:p>
    <w:p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 sevkiyat kapsam ve şekline göre üç sürüm halinde uygulanmaktadır. Havayolu kargo taşımacılığı ön yükleme ve havayolu posta taşımacılığı ön yükleme için Sürüm 1, 15 Mart 2021 tarihi itibarıyla; havayolu genel kargo taşımacılığı ile havayolu taşımacılığı ve posta taşımacılığı için Sürüm 2 ise, 1 Mart 2023 tarihi itibarıyla halihazırda AB gümrüklerinde uygulanmaktadır. </w:t>
      </w:r>
    </w:p>
    <w:p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 xml:space="preserve">Deniz yolu, karayolu ve demiryolu taşımacılıklarını kapsayan Sürüm 3’ün </w:t>
      </w:r>
      <w:proofErr w:type="spellStart"/>
      <w:r w:rsidRPr="00673523">
        <w:rPr>
          <w:rFonts w:ascii="Times New Roman" w:hAnsi="Times New Roman" w:cs="Times New Roman"/>
          <w:sz w:val="24"/>
          <w:szCs w:val="24"/>
        </w:rPr>
        <w:t>operasyonel</w:t>
      </w:r>
      <w:proofErr w:type="spellEnd"/>
      <w:r w:rsidRPr="00673523">
        <w:rPr>
          <w:rFonts w:ascii="Times New Roman" w:hAnsi="Times New Roman" w:cs="Times New Roman"/>
          <w:sz w:val="24"/>
          <w:szCs w:val="24"/>
        </w:rPr>
        <w:t xml:space="preserve"> süreci öncelikle deniz yolu taşımacılığına konu sevkiyatlar için 3 Haziran 2024 tarihi itibarıyla AB gümrüklerinde başlayacaktır. Karayolu ve demiryolu taşımacılığı için ise sisteme geçişin 1 Nisan 2025 tarihinde başlaması planlanmaktadır.</w:t>
      </w:r>
    </w:p>
    <w:p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Sürüm 3’e ilişkin ekonomik operatörlere yönelik yayımlanan belgelere aşağıdaki çevrimiçi bağla</w:t>
      </w:r>
      <w:r>
        <w:rPr>
          <w:rFonts w:ascii="Times New Roman" w:hAnsi="Times New Roman" w:cs="Times New Roman"/>
          <w:sz w:val="24"/>
          <w:szCs w:val="24"/>
        </w:rPr>
        <w:t>n</w:t>
      </w:r>
      <w:r w:rsidRPr="00673523">
        <w:rPr>
          <w:rFonts w:ascii="Times New Roman" w:hAnsi="Times New Roman" w:cs="Times New Roman"/>
          <w:sz w:val="24"/>
          <w:szCs w:val="24"/>
        </w:rPr>
        <w:t>tılar üzerinden ulaşılabilmektedir:</w:t>
      </w:r>
    </w:p>
    <w:p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Sistem kapsamına ilişkin</w:t>
      </w:r>
      <w:r w:rsidR="0066447D">
        <w:rPr>
          <w:rFonts w:ascii="Times New Roman" w:hAnsi="Times New Roman" w:cs="Times New Roman"/>
          <w:sz w:val="24"/>
          <w:szCs w:val="24"/>
        </w:rPr>
        <w:t>:</w:t>
      </w:r>
    </w:p>
    <w:p w:rsidR="00673523" w:rsidRPr="0066447D" w:rsidRDefault="000C7BD7" w:rsidP="0066447D">
      <w:pPr>
        <w:pStyle w:val="ListeParagraf"/>
        <w:spacing w:line="276" w:lineRule="auto"/>
        <w:ind w:left="786"/>
        <w:rPr>
          <w:rFonts w:ascii="Times New Roman" w:hAnsi="Times New Roman" w:cs="Times New Roman"/>
          <w:color w:val="0B4CB4"/>
          <w:sz w:val="24"/>
          <w:szCs w:val="24"/>
        </w:rPr>
      </w:pPr>
      <w:hyperlink r:id="rId7" w:history="1">
        <w:proofErr w:type="spellStart"/>
        <w:r w:rsidR="00673523" w:rsidRPr="0066447D">
          <w:rPr>
            <w:rStyle w:val="Kpr"/>
            <w:rFonts w:ascii="Times New Roman" w:hAnsi="Times New Roman" w:cs="Times New Roman"/>
            <w:color w:val="0B4CB4"/>
            <w:sz w:val="24"/>
            <w:szCs w:val="24"/>
          </w:rPr>
          <w:t>Import</w:t>
        </w:r>
        <w:proofErr w:type="spellEnd"/>
        <w:r w:rsidR="00673523" w:rsidRPr="0066447D">
          <w:rPr>
            <w:rStyle w:val="Kpr"/>
            <w:rFonts w:ascii="Times New Roman" w:hAnsi="Times New Roman" w:cs="Times New Roman"/>
            <w:color w:val="0B4CB4"/>
            <w:sz w:val="24"/>
            <w:szCs w:val="24"/>
          </w:rPr>
          <w:t xml:space="preserve"> Control </w:t>
        </w:r>
        <w:proofErr w:type="spellStart"/>
        <w:r w:rsidR="00673523" w:rsidRPr="0066447D">
          <w:rPr>
            <w:rStyle w:val="Kpr"/>
            <w:rFonts w:ascii="Times New Roman" w:hAnsi="Times New Roman" w:cs="Times New Roman"/>
            <w:color w:val="0B4CB4"/>
            <w:sz w:val="24"/>
            <w:szCs w:val="24"/>
          </w:rPr>
          <w:t>System</w:t>
        </w:r>
        <w:proofErr w:type="spellEnd"/>
        <w:r w:rsidR="00673523" w:rsidRPr="0066447D">
          <w:rPr>
            <w:rStyle w:val="Kpr"/>
            <w:rFonts w:ascii="Times New Roman" w:hAnsi="Times New Roman" w:cs="Times New Roman"/>
            <w:color w:val="0B4CB4"/>
            <w:sz w:val="24"/>
            <w:szCs w:val="24"/>
          </w:rPr>
          <w:t xml:space="preserve"> 2 (ICS2</w:t>
        </w:r>
        <w:proofErr w:type="gramStart"/>
        <w:r w:rsidR="00673523" w:rsidRPr="0066447D">
          <w:rPr>
            <w:rStyle w:val="Kpr"/>
            <w:rFonts w:ascii="Times New Roman" w:hAnsi="Times New Roman" w:cs="Times New Roman"/>
            <w:color w:val="0B4CB4"/>
            <w:sz w:val="24"/>
            <w:szCs w:val="24"/>
          </w:rPr>
          <w:t>) -</w:t>
        </w:r>
        <w:proofErr w:type="gram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European</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Commission</w:t>
        </w:r>
        <w:proofErr w:type="spellEnd"/>
        <w:r w:rsidR="00673523" w:rsidRPr="0066447D">
          <w:rPr>
            <w:rStyle w:val="Kpr"/>
            <w:rFonts w:ascii="Times New Roman" w:hAnsi="Times New Roman" w:cs="Times New Roman"/>
            <w:color w:val="0B4CB4"/>
            <w:sz w:val="24"/>
            <w:szCs w:val="24"/>
          </w:rPr>
          <w:t xml:space="preserve"> (europa.eu)</w:t>
        </w:r>
      </w:hyperlink>
      <w:r w:rsidR="0066447D">
        <w:rPr>
          <w:rFonts w:ascii="Times New Roman" w:hAnsi="Times New Roman" w:cs="Times New Roman"/>
          <w:sz w:val="24"/>
          <w:szCs w:val="24"/>
        </w:rPr>
        <w:t>.</w:t>
      </w:r>
    </w:p>
    <w:p w:rsidR="00673523"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 xml:space="preserve">AB gümrük formalitelerine ilişkin </w:t>
      </w:r>
      <w:hyperlink r:id="rId8" w:history="1">
        <w:r w:rsidRPr="0066447D">
          <w:rPr>
            <w:rStyle w:val="Kpr"/>
            <w:rFonts w:ascii="Times New Roman" w:hAnsi="Times New Roman" w:cs="Times New Roman"/>
            <w:color w:val="0B4CB4"/>
            <w:sz w:val="24"/>
            <w:szCs w:val="24"/>
          </w:rPr>
          <w:t>Rehber Belge</w:t>
        </w:r>
      </w:hyperlink>
      <w:r w:rsidRPr="0066447D">
        <w:rPr>
          <w:rFonts w:ascii="Times New Roman" w:hAnsi="Times New Roman" w:cs="Times New Roman"/>
          <w:sz w:val="24"/>
          <w:szCs w:val="24"/>
        </w:rPr>
        <w:t>, </w:t>
      </w:r>
    </w:p>
    <w:p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 xml:space="preserve">Mal tanımlamalarına ilişkin </w:t>
      </w:r>
      <w:hyperlink r:id="rId9" w:history="1">
        <w:r w:rsidRPr="0066447D">
          <w:rPr>
            <w:rStyle w:val="Kpr"/>
            <w:rFonts w:ascii="Times New Roman" w:hAnsi="Times New Roman" w:cs="Times New Roman"/>
            <w:color w:val="0B4CB4"/>
            <w:sz w:val="24"/>
            <w:szCs w:val="24"/>
          </w:rPr>
          <w:t>Rehber</w:t>
        </w:r>
      </w:hyperlink>
      <w:r w:rsidRPr="0066447D">
        <w:rPr>
          <w:rFonts w:ascii="Times New Roman" w:hAnsi="Times New Roman" w:cs="Times New Roman"/>
          <w:sz w:val="24"/>
          <w:szCs w:val="24"/>
        </w:rPr>
        <w:t>,</w:t>
      </w:r>
    </w:p>
    <w:p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 xml:space="preserve">Posta sevkiyatları için ICS2 Sürüm 2 </w:t>
      </w:r>
      <w:hyperlink r:id="rId10" w:history="1">
        <w:r w:rsidRPr="0066447D">
          <w:rPr>
            <w:rStyle w:val="Kpr"/>
            <w:rFonts w:ascii="Times New Roman" w:hAnsi="Times New Roman" w:cs="Times New Roman"/>
            <w:color w:val="0B4CB4"/>
            <w:sz w:val="24"/>
            <w:szCs w:val="24"/>
          </w:rPr>
          <w:t>İşletim Rehberi</w:t>
        </w:r>
      </w:hyperlink>
      <w:r w:rsidRPr="0066447D">
        <w:rPr>
          <w:rFonts w:ascii="Times New Roman" w:hAnsi="Times New Roman" w:cs="Times New Roman"/>
          <w:sz w:val="24"/>
          <w:szCs w:val="24"/>
        </w:rPr>
        <w:t>,</w:t>
      </w:r>
    </w:p>
    <w:p w:rsidR="0066447D" w:rsidRPr="008A3450"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8A3450">
        <w:rPr>
          <w:rFonts w:ascii="Times New Roman" w:hAnsi="Times New Roman" w:cs="Times New Roman"/>
          <w:sz w:val="24"/>
          <w:szCs w:val="24"/>
        </w:rPr>
        <w:t xml:space="preserve">Adres bilgilerine ilişkin </w:t>
      </w:r>
      <w:hyperlink r:id="rId11" w:history="1">
        <w:r w:rsidRPr="008A3450">
          <w:rPr>
            <w:rStyle w:val="Kpr"/>
            <w:rFonts w:ascii="Times New Roman" w:hAnsi="Times New Roman" w:cs="Times New Roman"/>
            <w:sz w:val="24"/>
            <w:szCs w:val="24"/>
          </w:rPr>
          <w:t>Rehber</w:t>
        </w:r>
      </w:hyperlink>
      <w:r w:rsidRPr="008A3450">
        <w:rPr>
          <w:rFonts w:ascii="Times New Roman" w:hAnsi="Times New Roman" w:cs="Times New Roman"/>
          <w:sz w:val="24"/>
          <w:szCs w:val="24"/>
        </w:rPr>
        <w:t>,</w:t>
      </w:r>
    </w:p>
    <w:p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EORI numarasına ilişkin detaylı bilgi</w:t>
      </w:r>
      <w:r w:rsidR="0066447D">
        <w:rPr>
          <w:rFonts w:ascii="Times New Roman" w:hAnsi="Times New Roman" w:cs="Times New Roman"/>
          <w:sz w:val="24"/>
          <w:szCs w:val="24"/>
        </w:rPr>
        <w:t>:</w:t>
      </w:r>
    </w:p>
    <w:p w:rsidR="00673523" w:rsidRPr="0066447D" w:rsidRDefault="000C7BD7" w:rsidP="0066447D">
      <w:pPr>
        <w:pStyle w:val="ListeParagraf"/>
        <w:spacing w:line="276" w:lineRule="auto"/>
        <w:ind w:left="786"/>
        <w:rPr>
          <w:rFonts w:ascii="Times New Roman" w:hAnsi="Times New Roman" w:cs="Times New Roman"/>
          <w:color w:val="0B4CB4"/>
          <w:sz w:val="24"/>
          <w:szCs w:val="24"/>
        </w:rPr>
      </w:pPr>
      <w:hyperlink r:id="rId12" w:history="1">
        <w:proofErr w:type="spellStart"/>
        <w:r w:rsidR="00673523" w:rsidRPr="0066447D">
          <w:rPr>
            <w:rStyle w:val="Kpr"/>
            <w:rFonts w:ascii="Times New Roman" w:hAnsi="Times New Roman" w:cs="Times New Roman"/>
            <w:color w:val="0B4CB4"/>
            <w:sz w:val="24"/>
            <w:szCs w:val="24"/>
          </w:rPr>
          <w:t>Economic</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Operators</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Registration</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and</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Identification</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number</w:t>
        </w:r>
        <w:proofErr w:type="spellEnd"/>
        <w:r w:rsidR="00673523" w:rsidRPr="0066447D">
          <w:rPr>
            <w:rStyle w:val="Kpr"/>
            <w:rFonts w:ascii="Times New Roman" w:hAnsi="Times New Roman" w:cs="Times New Roman"/>
            <w:color w:val="0B4CB4"/>
            <w:sz w:val="24"/>
            <w:szCs w:val="24"/>
          </w:rPr>
          <w:t xml:space="preserve"> (EORI</w:t>
        </w:r>
        <w:proofErr w:type="gramStart"/>
        <w:r w:rsidR="00673523" w:rsidRPr="0066447D">
          <w:rPr>
            <w:rStyle w:val="Kpr"/>
            <w:rFonts w:ascii="Times New Roman" w:hAnsi="Times New Roman" w:cs="Times New Roman"/>
            <w:color w:val="0B4CB4"/>
            <w:sz w:val="24"/>
            <w:szCs w:val="24"/>
          </w:rPr>
          <w:t>) -</w:t>
        </w:r>
        <w:proofErr w:type="gram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European</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Commission</w:t>
        </w:r>
        <w:proofErr w:type="spellEnd"/>
        <w:r w:rsidR="00673523" w:rsidRPr="0066447D">
          <w:rPr>
            <w:rStyle w:val="Kpr"/>
            <w:rFonts w:ascii="Times New Roman" w:hAnsi="Times New Roman" w:cs="Times New Roman"/>
            <w:color w:val="0B4CB4"/>
            <w:sz w:val="24"/>
            <w:szCs w:val="24"/>
          </w:rPr>
          <w:t xml:space="preserve"> (europa.eu)</w:t>
        </w:r>
      </w:hyperlink>
      <w:r w:rsidR="00673523" w:rsidRPr="0066447D">
        <w:rPr>
          <w:rFonts w:ascii="Times New Roman" w:hAnsi="Times New Roman" w:cs="Times New Roman"/>
          <w:sz w:val="24"/>
          <w:szCs w:val="24"/>
        </w:rPr>
        <w:t>.</w:t>
      </w:r>
    </w:p>
    <w:p w:rsidR="004732B4" w:rsidRDefault="00673523" w:rsidP="0066447D">
      <w:pPr>
        <w:pStyle w:val="ListeParagraf"/>
        <w:numPr>
          <w:ilvl w:val="0"/>
          <w:numId w:val="5"/>
        </w:numPr>
        <w:spacing w:line="276" w:lineRule="auto"/>
        <w:rPr>
          <w:rFonts w:ascii="Times New Roman" w:hAnsi="Times New Roman" w:cs="Times New Roman"/>
          <w:sz w:val="24"/>
          <w:szCs w:val="24"/>
        </w:rPr>
      </w:pPr>
      <w:r w:rsidRPr="0066447D">
        <w:rPr>
          <w:rFonts w:ascii="Times New Roman" w:hAnsi="Times New Roman" w:cs="Times New Roman"/>
          <w:sz w:val="24"/>
          <w:szCs w:val="24"/>
        </w:rPr>
        <w:t>ICS2 Sürüm 3’e ilişkin faydalı belgeler;</w:t>
      </w:r>
    </w:p>
    <w:p w:rsidR="0066447D" w:rsidRPr="004732B4" w:rsidRDefault="00673523" w:rsidP="004732B4">
      <w:pPr>
        <w:pStyle w:val="ListeParagraf"/>
        <w:spacing w:line="276" w:lineRule="auto"/>
        <w:ind w:left="786"/>
        <w:rPr>
          <w:rFonts w:ascii="Times New Roman" w:hAnsi="Times New Roman" w:cs="Times New Roman"/>
          <w:sz w:val="24"/>
          <w:szCs w:val="24"/>
        </w:rPr>
      </w:pPr>
      <w:r w:rsidRPr="001A72D2">
        <w:rPr>
          <w:rFonts w:ascii="Times New Roman" w:hAnsi="Times New Roman" w:cs="Times New Roman"/>
          <w:sz w:val="24"/>
          <w:szCs w:val="24"/>
        </w:rPr>
        <w:t>Sürüm 3’e</w:t>
      </w:r>
      <w:r w:rsidR="001A72D2" w:rsidRPr="001A72D2">
        <w:rPr>
          <w:rFonts w:ascii="Times New Roman" w:hAnsi="Times New Roman" w:cs="Times New Roman"/>
          <w:sz w:val="24"/>
          <w:szCs w:val="24"/>
        </w:rPr>
        <w:t xml:space="preserve"> geçiş</w:t>
      </w:r>
      <w:r w:rsidRPr="001A72D2">
        <w:rPr>
          <w:rFonts w:ascii="Times New Roman" w:hAnsi="Times New Roman" w:cs="Times New Roman"/>
          <w:sz w:val="24"/>
          <w:szCs w:val="24"/>
        </w:rPr>
        <w:t xml:space="preserve"> prosedürler</w:t>
      </w:r>
      <w:r w:rsidR="001A72D2" w:rsidRPr="001A72D2">
        <w:rPr>
          <w:rFonts w:ascii="Times New Roman" w:hAnsi="Times New Roman" w:cs="Times New Roman"/>
          <w:sz w:val="24"/>
          <w:szCs w:val="24"/>
        </w:rPr>
        <w:t>ine</w:t>
      </w:r>
      <w:r w:rsidRPr="008A3450">
        <w:rPr>
          <w:rFonts w:ascii="Times New Roman" w:hAnsi="Times New Roman" w:cs="Times New Roman"/>
          <w:sz w:val="24"/>
          <w:szCs w:val="24"/>
        </w:rPr>
        <w:t xml:space="preserve"> ilişkin için </w:t>
      </w:r>
      <w:hyperlink r:id="rId13" w:history="1">
        <w:r w:rsidRPr="008A3450">
          <w:rPr>
            <w:rStyle w:val="Kpr"/>
            <w:rFonts w:ascii="Times New Roman" w:hAnsi="Times New Roman" w:cs="Times New Roman"/>
            <w:sz w:val="24"/>
            <w:szCs w:val="24"/>
          </w:rPr>
          <w:t>Kılavuz</w:t>
        </w:r>
      </w:hyperlink>
      <w:r w:rsidRPr="008A3450">
        <w:rPr>
          <w:rFonts w:ascii="Times New Roman" w:hAnsi="Times New Roman" w:cs="Times New Roman"/>
          <w:sz w:val="24"/>
          <w:szCs w:val="24"/>
        </w:rPr>
        <w:t>.</w:t>
      </w:r>
    </w:p>
    <w:p w:rsidR="004732B4" w:rsidRPr="004732B4" w:rsidRDefault="00673523" w:rsidP="004732B4">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Uygunluk testlerine ilişkin belgeler ve yararlı linkler:</w:t>
      </w:r>
    </w:p>
    <w:p w:rsidR="004732B4" w:rsidRDefault="000C7BD7" w:rsidP="004732B4">
      <w:pPr>
        <w:pStyle w:val="ListeParagraf"/>
        <w:spacing w:line="276" w:lineRule="auto"/>
        <w:ind w:left="786"/>
        <w:rPr>
          <w:rFonts w:ascii="Times New Roman" w:hAnsi="Times New Roman" w:cs="Times New Roman"/>
          <w:sz w:val="24"/>
          <w:szCs w:val="24"/>
        </w:rPr>
      </w:pPr>
      <w:hyperlink r:id="rId14" w:history="1">
        <w:proofErr w:type="spellStart"/>
        <w:r w:rsidR="00673523" w:rsidRPr="004732B4">
          <w:rPr>
            <w:rStyle w:val="Kpr"/>
            <w:rFonts w:ascii="Times New Roman" w:hAnsi="Times New Roman" w:cs="Times New Roman"/>
            <w:color w:val="0B4CB4"/>
            <w:sz w:val="24"/>
            <w:szCs w:val="24"/>
          </w:rPr>
          <w:t>Circabc</w:t>
        </w:r>
        <w:proofErr w:type="spellEnd"/>
        <w:r w:rsidR="00673523" w:rsidRPr="004732B4">
          <w:rPr>
            <w:rStyle w:val="Kpr"/>
            <w:rFonts w:ascii="Times New Roman" w:hAnsi="Times New Roman" w:cs="Times New Roman"/>
            <w:color w:val="0B4CB4"/>
            <w:sz w:val="24"/>
            <w:szCs w:val="24"/>
          </w:rPr>
          <w:t xml:space="preserve"> (europa.eu)</w:t>
        </w:r>
      </w:hyperlink>
      <w:r w:rsidR="00673523" w:rsidRPr="004732B4">
        <w:rPr>
          <w:rFonts w:ascii="Times New Roman" w:hAnsi="Times New Roman" w:cs="Times New Roman"/>
          <w:sz w:val="24"/>
          <w:szCs w:val="24"/>
        </w:rPr>
        <w:t>,</w:t>
      </w:r>
    </w:p>
    <w:p w:rsidR="004732B4" w:rsidRDefault="000C7BD7" w:rsidP="004732B4">
      <w:pPr>
        <w:pStyle w:val="ListeParagraf"/>
        <w:spacing w:line="276" w:lineRule="auto"/>
        <w:ind w:left="786"/>
        <w:rPr>
          <w:rFonts w:ascii="Times New Roman" w:hAnsi="Times New Roman" w:cs="Times New Roman"/>
          <w:sz w:val="24"/>
          <w:szCs w:val="24"/>
        </w:rPr>
      </w:pPr>
      <w:hyperlink r:id="rId15" w:history="1">
        <w:r w:rsidR="00673523" w:rsidRPr="0066447D">
          <w:rPr>
            <w:rStyle w:val="Kpr"/>
            <w:rFonts w:ascii="Times New Roman" w:hAnsi="Times New Roman" w:cs="Times New Roman"/>
            <w:color w:val="0B4CB4"/>
            <w:sz w:val="24"/>
            <w:szCs w:val="24"/>
          </w:rPr>
          <w:t xml:space="preserve">ICS2 </w:t>
        </w:r>
        <w:proofErr w:type="spellStart"/>
        <w:r w:rsidR="00673523" w:rsidRPr="0066447D">
          <w:rPr>
            <w:rStyle w:val="Kpr"/>
            <w:rFonts w:ascii="Times New Roman" w:hAnsi="Times New Roman" w:cs="Times New Roman"/>
            <w:color w:val="0B4CB4"/>
            <w:sz w:val="24"/>
            <w:szCs w:val="24"/>
          </w:rPr>
          <w:t>Release</w:t>
        </w:r>
        <w:proofErr w:type="spellEnd"/>
        <w:r w:rsidR="00673523" w:rsidRPr="0066447D">
          <w:rPr>
            <w:rStyle w:val="Kpr"/>
            <w:rFonts w:ascii="Times New Roman" w:hAnsi="Times New Roman" w:cs="Times New Roman"/>
            <w:color w:val="0B4CB4"/>
            <w:sz w:val="24"/>
            <w:szCs w:val="24"/>
          </w:rPr>
          <w:t xml:space="preserve"> </w:t>
        </w:r>
        <w:proofErr w:type="gramStart"/>
        <w:r w:rsidR="00673523" w:rsidRPr="0066447D">
          <w:rPr>
            <w:rStyle w:val="Kpr"/>
            <w:rFonts w:ascii="Times New Roman" w:hAnsi="Times New Roman" w:cs="Times New Roman"/>
            <w:color w:val="0B4CB4"/>
            <w:sz w:val="24"/>
            <w:szCs w:val="24"/>
          </w:rPr>
          <w:t>2 -</w:t>
        </w:r>
        <w:proofErr w:type="gramEnd"/>
        <w:r w:rsidR="00673523" w:rsidRPr="0066447D">
          <w:rPr>
            <w:rStyle w:val="Kpr"/>
            <w:rFonts w:ascii="Times New Roman" w:hAnsi="Times New Roman" w:cs="Times New Roman"/>
            <w:color w:val="0B4CB4"/>
            <w:sz w:val="24"/>
            <w:szCs w:val="24"/>
          </w:rPr>
          <w:t xml:space="preserve"> Library (europa.eu)</w:t>
        </w:r>
      </w:hyperlink>
      <w:r w:rsidR="004732B4">
        <w:rPr>
          <w:rFonts w:ascii="Times New Roman" w:hAnsi="Times New Roman" w:cs="Times New Roman"/>
          <w:sz w:val="24"/>
          <w:szCs w:val="24"/>
        </w:rPr>
        <w:t>,</w:t>
      </w:r>
    </w:p>
    <w:p w:rsidR="00673523" w:rsidRPr="0066447D" w:rsidRDefault="000C7BD7" w:rsidP="004732B4">
      <w:pPr>
        <w:pStyle w:val="ListeParagraf"/>
        <w:spacing w:line="276" w:lineRule="auto"/>
        <w:ind w:left="786"/>
        <w:rPr>
          <w:rFonts w:ascii="Times New Roman" w:hAnsi="Times New Roman" w:cs="Times New Roman"/>
          <w:color w:val="0B4CB4"/>
          <w:sz w:val="24"/>
          <w:szCs w:val="24"/>
        </w:rPr>
      </w:pPr>
      <w:hyperlink r:id="rId16" w:history="1">
        <w:r w:rsidR="00673523" w:rsidRPr="00231C97">
          <w:rPr>
            <w:rStyle w:val="Kpr"/>
            <w:rFonts w:ascii="Times New Roman" w:hAnsi="Times New Roman" w:cs="Times New Roman"/>
            <w:sz w:val="24"/>
            <w:szCs w:val="24"/>
          </w:rPr>
          <w:t>UUM&amp;DS (europa.eu).</w:t>
        </w:r>
      </w:hyperlink>
      <w:r w:rsidR="0045591B">
        <w:rPr>
          <w:rFonts w:ascii="Times New Roman" w:hAnsi="Times New Roman" w:cs="Times New Roman"/>
          <w:sz w:val="24"/>
          <w:szCs w:val="24"/>
        </w:rPr>
        <w:t xml:space="preserve"> (</w:t>
      </w:r>
      <w:hyperlink r:id="rId17" w:history="1">
        <w:r w:rsidR="0045591B" w:rsidRPr="0045591B">
          <w:rPr>
            <w:rStyle w:val="Kpr"/>
            <w:rFonts w:ascii="Times New Roman" w:hAnsi="Times New Roman" w:cs="Times New Roman"/>
            <w:sz w:val="24"/>
            <w:szCs w:val="24"/>
          </w:rPr>
          <w:t>Rehber Belge</w:t>
        </w:r>
      </w:hyperlink>
      <w:r w:rsidR="0045591B">
        <w:rPr>
          <w:rFonts w:ascii="Times New Roman" w:hAnsi="Times New Roman" w:cs="Times New Roman"/>
          <w:sz w:val="24"/>
          <w:szCs w:val="24"/>
        </w:rPr>
        <w:t>)</w:t>
      </w:r>
    </w:p>
    <w:p w:rsidR="004B4DDB" w:rsidRDefault="00673523" w:rsidP="004B4DDB">
      <w:pPr>
        <w:pStyle w:val="ListeParagraf"/>
        <w:numPr>
          <w:ilvl w:val="0"/>
          <w:numId w:val="5"/>
        </w:numPr>
        <w:spacing w:line="276" w:lineRule="auto"/>
        <w:rPr>
          <w:rFonts w:ascii="Times New Roman" w:hAnsi="Times New Roman" w:cs="Times New Roman"/>
          <w:sz w:val="24"/>
          <w:szCs w:val="24"/>
        </w:rPr>
      </w:pPr>
      <w:r w:rsidRPr="004732B4">
        <w:rPr>
          <w:rFonts w:ascii="Times New Roman" w:hAnsi="Times New Roman" w:cs="Times New Roman"/>
          <w:sz w:val="24"/>
          <w:szCs w:val="24"/>
        </w:rPr>
        <w:t>ICS2 sistemi için faydalanılabilecek AB mevzuatına aşağıdaki bağlantılardan erişim sağlanabilir:</w:t>
      </w:r>
    </w:p>
    <w:p w:rsidR="004B4DDB" w:rsidRDefault="00673523" w:rsidP="004B4DDB">
      <w:pPr>
        <w:pStyle w:val="ListeParagraf"/>
        <w:spacing w:line="276" w:lineRule="auto"/>
        <w:ind w:left="786"/>
        <w:rPr>
          <w:rFonts w:ascii="Times New Roman" w:hAnsi="Times New Roman" w:cs="Times New Roman"/>
          <w:sz w:val="24"/>
          <w:szCs w:val="24"/>
        </w:rPr>
      </w:pPr>
      <w:r w:rsidRPr="004B4DDB">
        <w:rPr>
          <w:rFonts w:ascii="Times New Roman" w:hAnsi="Times New Roman" w:cs="Times New Roman"/>
          <w:sz w:val="24"/>
          <w:szCs w:val="24"/>
        </w:rPr>
        <w:t>952/2013 sayılı Birlik Gümrük Kodu</w:t>
      </w:r>
      <w:r w:rsidR="004B4DDB">
        <w:rPr>
          <w:rFonts w:ascii="Times New Roman" w:hAnsi="Times New Roman" w:cs="Times New Roman"/>
          <w:sz w:val="24"/>
          <w:szCs w:val="24"/>
        </w:rPr>
        <w:t>:</w:t>
      </w:r>
    </w:p>
    <w:p w:rsidR="004B4DDB" w:rsidRDefault="000C7BD7" w:rsidP="004B4DDB">
      <w:pPr>
        <w:pStyle w:val="ListeParagraf"/>
        <w:spacing w:line="276" w:lineRule="auto"/>
        <w:ind w:left="786"/>
        <w:rPr>
          <w:rFonts w:ascii="Times New Roman" w:hAnsi="Times New Roman" w:cs="Times New Roman"/>
          <w:sz w:val="24"/>
          <w:szCs w:val="24"/>
        </w:rPr>
      </w:pPr>
      <w:hyperlink r:id="rId18" w:history="1">
        <w:r w:rsidR="00673523" w:rsidRPr="0066447D">
          <w:rPr>
            <w:rStyle w:val="Kpr"/>
            <w:rFonts w:ascii="Times New Roman" w:hAnsi="Times New Roman" w:cs="Times New Roman"/>
            <w:sz w:val="24"/>
            <w:szCs w:val="24"/>
          </w:rPr>
          <w:t>EUR-</w:t>
        </w:r>
        <w:proofErr w:type="spellStart"/>
        <w:proofErr w:type="gramStart"/>
        <w:r w:rsidR="00673523" w:rsidRPr="0066447D">
          <w:rPr>
            <w:rStyle w:val="Kpr"/>
            <w:rFonts w:ascii="Times New Roman" w:hAnsi="Times New Roman" w:cs="Times New Roman"/>
            <w:sz w:val="24"/>
            <w:szCs w:val="24"/>
          </w:rPr>
          <w:t>Lex</w:t>
        </w:r>
        <w:proofErr w:type="spellEnd"/>
        <w:r w:rsidR="00673523" w:rsidRPr="0066447D">
          <w:rPr>
            <w:rStyle w:val="Kpr"/>
            <w:rFonts w:ascii="Times New Roman" w:hAnsi="Times New Roman" w:cs="Times New Roman"/>
            <w:sz w:val="24"/>
            <w:szCs w:val="24"/>
          </w:rPr>
          <w:t xml:space="preserve"> -</w:t>
        </w:r>
        <w:proofErr w:type="gramEnd"/>
        <w:r w:rsidR="00673523" w:rsidRPr="0066447D">
          <w:rPr>
            <w:rStyle w:val="Kpr"/>
            <w:rFonts w:ascii="Times New Roman" w:hAnsi="Times New Roman" w:cs="Times New Roman"/>
            <w:sz w:val="24"/>
            <w:szCs w:val="24"/>
          </w:rPr>
          <w:t xml:space="preserve"> 02013R0952-20200101 - EN - EUR-</w:t>
        </w:r>
        <w:proofErr w:type="spellStart"/>
        <w:r w:rsidR="00673523" w:rsidRPr="0066447D">
          <w:rPr>
            <w:rStyle w:val="Kpr"/>
            <w:rFonts w:ascii="Times New Roman" w:hAnsi="Times New Roman" w:cs="Times New Roman"/>
            <w:sz w:val="24"/>
            <w:szCs w:val="24"/>
          </w:rPr>
          <w:t>Lex</w:t>
        </w:r>
        <w:proofErr w:type="spellEnd"/>
        <w:r w:rsidR="00673523" w:rsidRPr="0066447D">
          <w:rPr>
            <w:rStyle w:val="Kpr"/>
            <w:rFonts w:ascii="Times New Roman" w:hAnsi="Times New Roman" w:cs="Times New Roman"/>
            <w:sz w:val="24"/>
            <w:szCs w:val="24"/>
          </w:rPr>
          <w:t xml:space="preserve"> (europa.eu)</w:t>
        </w:r>
      </w:hyperlink>
      <w:r w:rsidR="00673523" w:rsidRPr="0066447D">
        <w:rPr>
          <w:rFonts w:ascii="Times New Roman" w:hAnsi="Times New Roman" w:cs="Times New Roman"/>
          <w:sz w:val="24"/>
          <w:szCs w:val="24"/>
        </w:rPr>
        <w:t> </w:t>
      </w:r>
    </w:p>
    <w:p w:rsidR="004B4DDB" w:rsidRDefault="00673523" w:rsidP="004B4DDB">
      <w:pPr>
        <w:pStyle w:val="ListeParagraf"/>
        <w:spacing w:line="276" w:lineRule="auto"/>
        <w:ind w:left="786"/>
        <w:rPr>
          <w:rFonts w:ascii="Times New Roman" w:hAnsi="Times New Roman" w:cs="Times New Roman"/>
          <w:color w:val="262626"/>
          <w:sz w:val="24"/>
          <w:szCs w:val="24"/>
        </w:rPr>
      </w:pPr>
      <w:r w:rsidRPr="0066447D">
        <w:rPr>
          <w:rFonts w:ascii="Times New Roman" w:hAnsi="Times New Roman" w:cs="Times New Roman"/>
          <w:color w:val="262626"/>
          <w:sz w:val="24"/>
          <w:szCs w:val="24"/>
        </w:rPr>
        <w:t>2023/2879 sayılı Komisyon Uygulama Kararı – BGK Çalışma Programı</w:t>
      </w:r>
      <w:r w:rsidR="004B4DDB">
        <w:rPr>
          <w:rFonts w:ascii="Times New Roman" w:hAnsi="Times New Roman" w:cs="Times New Roman"/>
          <w:color w:val="262626"/>
          <w:sz w:val="24"/>
          <w:szCs w:val="24"/>
        </w:rPr>
        <w:t>:</w:t>
      </w:r>
    </w:p>
    <w:p w:rsidR="004B4DDB" w:rsidRDefault="000C7BD7" w:rsidP="004B4DDB">
      <w:pPr>
        <w:pStyle w:val="ListeParagraf"/>
        <w:spacing w:line="276" w:lineRule="auto"/>
        <w:ind w:left="786"/>
        <w:rPr>
          <w:rFonts w:ascii="Times New Roman" w:hAnsi="Times New Roman" w:cs="Times New Roman"/>
          <w:sz w:val="24"/>
          <w:szCs w:val="24"/>
        </w:rPr>
      </w:pPr>
      <w:hyperlink r:id="rId19" w:history="1">
        <w:proofErr w:type="spellStart"/>
        <w:r w:rsidR="00673523" w:rsidRPr="0066447D">
          <w:rPr>
            <w:rStyle w:val="Kpr"/>
            <w:rFonts w:ascii="Times New Roman" w:hAnsi="Times New Roman" w:cs="Times New Roman"/>
            <w:color w:val="0B4CB4"/>
            <w:sz w:val="24"/>
            <w:szCs w:val="24"/>
          </w:rPr>
          <w:t>Implementing</w:t>
        </w:r>
        <w:proofErr w:type="spellEnd"/>
        <w:r w:rsidR="00673523" w:rsidRPr="0066447D">
          <w:rPr>
            <w:rStyle w:val="Kpr"/>
            <w:rFonts w:ascii="Times New Roman" w:hAnsi="Times New Roman" w:cs="Times New Roman"/>
            <w:color w:val="0B4CB4"/>
            <w:sz w:val="24"/>
            <w:szCs w:val="24"/>
          </w:rPr>
          <w:t xml:space="preserve"> </w:t>
        </w:r>
        <w:proofErr w:type="spellStart"/>
        <w:proofErr w:type="gramStart"/>
        <w:r w:rsidR="00673523" w:rsidRPr="0066447D">
          <w:rPr>
            <w:rStyle w:val="Kpr"/>
            <w:rFonts w:ascii="Times New Roman" w:hAnsi="Times New Roman" w:cs="Times New Roman"/>
            <w:color w:val="0B4CB4"/>
            <w:sz w:val="24"/>
            <w:szCs w:val="24"/>
          </w:rPr>
          <w:t>decision</w:t>
        </w:r>
        <w:proofErr w:type="spellEnd"/>
        <w:r w:rsidR="00673523" w:rsidRPr="0066447D">
          <w:rPr>
            <w:rStyle w:val="Kpr"/>
            <w:rFonts w:ascii="Times New Roman" w:hAnsi="Times New Roman" w:cs="Times New Roman"/>
            <w:color w:val="0B4CB4"/>
            <w:sz w:val="24"/>
            <w:szCs w:val="24"/>
          </w:rPr>
          <w:t xml:space="preserve"> -</w:t>
        </w:r>
        <w:proofErr w:type="gramEnd"/>
        <w:r w:rsidR="00673523" w:rsidRPr="0066447D">
          <w:rPr>
            <w:rStyle w:val="Kpr"/>
            <w:rFonts w:ascii="Times New Roman" w:hAnsi="Times New Roman" w:cs="Times New Roman"/>
            <w:color w:val="0B4CB4"/>
            <w:sz w:val="24"/>
            <w:szCs w:val="24"/>
          </w:rPr>
          <w:t xml:space="preserve"> 2023/2879 - EN - EUR-</w:t>
        </w:r>
        <w:proofErr w:type="spellStart"/>
        <w:r w:rsidR="00673523" w:rsidRPr="0066447D">
          <w:rPr>
            <w:rStyle w:val="Kpr"/>
            <w:rFonts w:ascii="Times New Roman" w:hAnsi="Times New Roman" w:cs="Times New Roman"/>
            <w:color w:val="0B4CB4"/>
            <w:sz w:val="24"/>
            <w:szCs w:val="24"/>
          </w:rPr>
          <w:t>Lex</w:t>
        </w:r>
        <w:proofErr w:type="spellEnd"/>
        <w:r w:rsidR="00673523" w:rsidRPr="0066447D">
          <w:rPr>
            <w:rStyle w:val="Kpr"/>
            <w:rFonts w:ascii="Times New Roman" w:hAnsi="Times New Roman" w:cs="Times New Roman"/>
            <w:color w:val="0B4CB4"/>
            <w:sz w:val="24"/>
            <w:szCs w:val="24"/>
          </w:rPr>
          <w:t xml:space="preserve"> (europa.eu)</w:t>
        </w:r>
      </w:hyperlink>
    </w:p>
    <w:p w:rsidR="004B4DDB" w:rsidRDefault="00673523" w:rsidP="004B4DDB">
      <w:pPr>
        <w:pStyle w:val="ListeParagraf"/>
        <w:spacing w:line="276" w:lineRule="auto"/>
        <w:ind w:left="786"/>
        <w:rPr>
          <w:rFonts w:ascii="Times New Roman" w:hAnsi="Times New Roman" w:cs="Times New Roman"/>
          <w:sz w:val="24"/>
          <w:szCs w:val="24"/>
        </w:rPr>
      </w:pPr>
      <w:r w:rsidRPr="0066447D">
        <w:rPr>
          <w:rFonts w:ascii="Times New Roman" w:hAnsi="Times New Roman" w:cs="Times New Roman"/>
          <w:sz w:val="24"/>
          <w:szCs w:val="24"/>
        </w:rPr>
        <w:t>2015/2446 &amp; 2015/2447 sayılı Komisyon Uygulama Yönetmelikleri – PLACI ve tam ENS veri gereksinimleri</w:t>
      </w:r>
      <w:r w:rsidR="004B4DDB">
        <w:rPr>
          <w:rFonts w:ascii="Times New Roman" w:hAnsi="Times New Roman" w:cs="Times New Roman"/>
          <w:sz w:val="24"/>
          <w:szCs w:val="24"/>
        </w:rPr>
        <w:t>:</w:t>
      </w:r>
    </w:p>
    <w:p w:rsidR="004B4DDB" w:rsidRDefault="000C7BD7" w:rsidP="004B4DDB">
      <w:pPr>
        <w:pStyle w:val="ListeParagraf"/>
        <w:spacing w:line="276" w:lineRule="auto"/>
        <w:ind w:left="786"/>
        <w:rPr>
          <w:rFonts w:ascii="Times New Roman" w:hAnsi="Times New Roman" w:cs="Times New Roman"/>
          <w:color w:val="0B4CB4"/>
          <w:sz w:val="24"/>
          <w:szCs w:val="24"/>
          <w:u w:val="single"/>
        </w:rPr>
      </w:pPr>
      <w:hyperlink r:id="rId20" w:history="1">
        <w:r w:rsidR="00673523" w:rsidRPr="0066447D">
          <w:rPr>
            <w:rStyle w:val="Kpr"/>
            <w:rFonts w:ascii="Times New Roman" w:hAnsi="Times New Roman" w:cs="Times New Roman"/>
            <w:sz w:val="24"/>
            <w:szCs w:val="24"/>
          </w:rPr>
          <w:t>EUR-</w:t>
        </w:r>
        <w:proofErr w:type="spellStart"/>
        <w:proofErr w:type="gramStart"/>
        <w:r w:rsidR="00673523" w:rsidRPr="0066447D">
          <w:rPr>
            <w:rStyle w:val="Kpr"/>
            <w:rFonts w:ascii="Times New Roman" w:hAnsi="Times New Roman" w:cs="Times New Roman"/>
            <w:sz w:val="24"/>
            <w:szCs w:val="24"/>
          </w:rPr>
          <w:t>Lex</w:t>
        </w:r>
        <w:proofErr w:type="spellEnd"/>
        <w:r w:rsidR="00673523" w:rsidRPr="0066447D">
          <w:rPr>
            <w:rStyle w:val="Kpr"/>
            <w:rFonts w:ascii="Times New Roman" w:hAnsi="Times New Roman" w:cs="Times New Roman"/>
            <w:sz w:val="24"/>
            <w:szCs w:val="24"/>
          </w:rPr>
          <w:t xml:space="preserve"> -</w:t>
        </w:r>
        <w:proofErr w:type="gramEnd"/>
        <w:r w:rsidR="00673523" w:rsidRPr="0066447D">
          <w:rPr>
            <w:rStyle w:val="Kpr"/>
            <w:rFonts w:ascii="Times New Roman" w:hAnsi="Times New Roman" w:cs="Times New Roman"/>
            <w:sz w:val="24"/>
            <w:szCs w:val="24"/>
          </w:rPr>
          <w:t xml:space="preserve"> L:2021:063:TOC - EN - EUR-</w:t>
        </w:r>
        <w:proofErr w:type="spellStart"/>
        <w:r w:rsidR="00673523" w:rsidRPr="0066447D">
          <w:rPr>
            <w:rStyle w:val="Kpr"/>
            <w:rFonts w:ascii="Times New Roman" w:hAnsi="Times New Roman" w:cs="Times New Roman"/>
            <w:sz w:val="24"/>
            <w:szCs w:val="24"/>
          </w:rPr>
          <w:t>Lex</w:t>
        </w:r>
        <w:proofErr w:type="spellEnd"/>
        <w:r w:rsidR="00673523" w:rsidRPr="0066447D">
          <w:rPr>
            <w:rStyle w:val="Kpr"/>
            <w:rFonts w:ascii="Times New Roman" w:hAnsi="Times New Roman" w:cs="Times New Roman"/>
            <w:sz w:val="24"/>
            <w:szCs w:val="24"/>
          </w:rPr>
          <w:t xml:space="preserve"> (europa.eu)</w:t>
        </w:r>
      </w:hyperlink>
    </w:p>
    <w:p w:rsidR="004B4DDB" w:rsidRDefault="00673523" w:rsidP="004B4DDB">
      <w:pPr>
        <w:pStyle w:val="ListeParagraf"/>
        <w:spacing w:line="276" w:lineRule="auto"/>
        <w:ind w:left="786"/>
        <w:rPr>
          <w:rFonts w:ascii="Times New Roman" w:hAnsi="Times New Roman" w:cs="Times New Roman"/>
          <w:sz w:val="24"/>
          <w:szCs w:val="24"/>
        </w:rPr>
      </w:pPr>
      <w:r w:rsidRPr="0066447D">
        <w:rPr>
          <w:rFonts w:ascii="Times New Roman" w:hAnsi="Times New Roman" w:cs="Times New Roman"/>
          <w:sz w:val="24"/>
          <w:szCs w:val="24"/>
        </w:rPr>
        <w:t>2015/2447</w:t>
      </w:r>
      <w:r w:rsidRPr="0066447D">
        <w:rPr>
          <w:rFonts w:ascii="Times New Roman" w:hAnsi="Times New Roman" w:cs="Times New Roman"/>
          <w:b/>
          <w:bCs/>
          <w:sz w:val="24"/>
          <w:szCs w:val="24"/>
        </w:rPr>
        <w:t xml:space="preserve"> </w:t>
      </w:r>
      <w:r w:rsidRPr="0066447D">
        <w:rPr>
          <w:rFonts w:ascii="Times New Roman" w:hAnsi="Times New Roman" w:cs="Times New Roman"/>
          <w:sz w:val="24"/>
          <w:szCs w:val="24"/>
        </w:rPr>
        <w:t xml:space="preserve">sayılı Komisyon Uygulama Yönetmeliği – PLACI Hava Kargo Güvenliği yönlendirmeleri ve AB gümrük idarelerine karşı ticaret erbaplarına ilişkin yükümlülükler </w:t>
      </w:r>
      <w:proofErr w:type="spellStart"/>
      <w:r w:rsidRPr="0066447D">
        <w:rPr>
          <w:rFonts w:ascii="Times New Roman" w:hAnsi="Times New Roman" w:cs="Times New Roman"/>
          <w:sz w:val="24"/>
          <w:szCs w:val="24"/>
        </w:rPr>
        <w:t>RfI</w:t>
      </w:r>
      <w:proofErr w:type="spellEnd"/>
      <w:r w:rsidRPr="0066447D">
        <w:rPr>
          <w:rFonts w:ascii="Times New Roman" w:hAnsi="Times New Roman" w:cs="Times New Roman"/>
          <w:sz w:val="24"/>
          <w:szCs w:val="24"/>
        </w:rPr>
        <w:t xml:space="preserve">, </w:t>
      </w:r>
      <w:proofErr w:type="spellStart"/>
      <w:r w:rsidRPr="0066447D">
        <w:rPr>
          <w:rFonts w:ascii="Times New Roman" w:hAnsi="Times New Roman" w:cs="Times New Roman"/>
          <w:sz w:val="24"/>
          <w:szCs w:val="24"/>
        </w:rPr>
        <w:t>RfS</w:t>
      </w:r>
      <w:proofErr w:type="spellEnd"/>
      <w:r w:rsidRPr="0066447D">
        <w:rPr>
          <w:rFonts w:ascii="Times New Roman" w:hAnsi="Times New Roman" w:cs="Times New Roman"/>
          <w:sz w:val="24"/>
          <w:szCs w:val="24"/>
        </w:rPr>
        <w:t>, DNL (Madde 186)</w:t>
      </w:r>
      <w:r w:rsidR="004B4DDB">
        <w:rPr>
          <w:rFonts w:ascii="Times New Roman" w:hAnsi="Times New Roman" w:cs="Times New Roman"/>
          <w:sz w:val="24"/>
          <w:szCs w:val="24"/>
        </w:rPr>
        <w:t>:</w:t>
      </w:r>
    </w:p>
    <w:p w:rsidR="00673523" w:rsidRPr="004B4DDB" w:rsidRDefault="000C7BD7" w:rsidP="004B4DDB">
      <w:pPr>
        <w:pStyle w:val="ListeParagraf"/>
        <w:spacing w:line="276" w:lineRule="auto"/>
        <w:ind w:left="786"/>
        <w:rPr>
          <w:rFonts w:ascii="Times New Roman" w:hAnsi="Times New Roman" w:cs="Times New Roman"/>
          <w:color w:val="4472C4" w:themeColor="accent1"/>
          <w:sz w:val="24"/>
          <w:szCs w:val="24"/>
        </w:rPr>
      </w:pPr>
      <w:hyperlink r:id="rId21" w:history="1">
        <w:r w:rsidR="00673523" w:rsidRPr="004B4DDB">
          <w:rPr>
            <w:rStyle w:val="Kpr"/>
            <w:rFonts w:ascii="Times New Roman" w:hAnsi="Times New Roman" w:cs="Times New Roman"/>
            <w:color w:val="4472C4" w:themeColor="accent1"/>
            <w:sz w:val="24"/>
            <w:szCs w:val="24"/>
          </w:rPr>
          <w:t>EUR-</w:t>
        </w:r>
        <w:proofErr w:type="spellStart"/>
        <w:proofErr w:type="gramStart"/>
        <w:r w:rsidR="00673523" w:rsidRPr="004B4DDB">
          <w:rPr>
            <w:rStyle w:val="Kpr"/>
            <w:rFonts w:ascii="Times New Roman" w:hAnsi="Times New Roman" w:cs="Times New Roman"/>
            <w:color w:val="4472C4" w:themeColor="accent1"/>
            <w:sz w:val="24"/>
            <w:szCs w:val="24"/>
          </w:rPr>
          <w:t>Lex</w:t>
        </w:r>
        <w:proofErr w:type="spellEnd"/>
        <w:r w:rsidR="00673523" w:rsidRPr="004B4DDB">
          <w:rPr>
            <w:rStyle w:val="Kpr"/>
            <w:rFonts w:ascii="Times New Roman" w:hAnsi="Times New Roman" w:cs="Times New Roman"/>
            <w:color w:val="4472C4" w:themeColor="accent1"/>
            <w:sz w:val="24"/>
            <w:szCs w:val="24"/>
          </w:rPr>
          <w:t xml:space="preserve"> -</w:t>
        </w:r>
        <w:proofErr w:type="gramEnd"/>
        <w:r w:rsidR="00673523" w:rsidRPr="004B4DDB">
          <w:rPr>
            <w:rStyle w:val="Kpr"/>
            <w:rFonts w:ascii="Times New Roman" w:hAnsi="Times New Roman" w:cs="Times New Roman"/>
            <w:color w:val="4472C4" w:themeColor="accent1"/>
            <w:sz w:val="24"/>
            <w:szCs w:val="24"/>
          </w:rPr>
          <w:t xml:space="preserve"> L:2021:063:TOC - EN - EUR-</w:t>
        </w:r>
        <w:proofErr w:type="spellStart"/>
        <w:r w:rsidR="00673523" w:rsidRPr="004B4DDB">
          <w:rPr>
            <w:rStyle w:val="Kpr"/>
            <w:rFonts w:ascii="Times New Roman" w:hAnsi="Times New Roman" w:cs="Times New Roman"/>
            <w:color w:val="4472C4" w:themeColor="accent1"/>
            <w:sz w:val="24"/>
            <w:szCs w:val="24"/>
          </w:rPr>
          <w:t>Lex</w:t>
        </w:r>
        <w:proofErr w:type="spellEnd"/>
        <w:r w:rsidR="00673523" w:rsidRPr="004B4DDB">
          <w:rPr>
            <w:rStyle w:val="Kpr"/>
            <w:rFonts w:ascii="Times New Roman" w:hAnsi="Times New Roman" w:cs="Times New Roman"/>
            <w:color w:val="4472C4" w:themeColor="accent1"/>
            <w:sz w:val="24"/>
            <w:szCs w:val="24"/>
          </w:rPr>
          <w:t xml:space="preserve"> (europa.eu)</w:t>
        </w:r>
      </w:hyperlink>
    </w:p>
    <w:p w:rsidR="00673523" w:rsidRPr="00673523" w:rsidRDefault="00673523" w:rsidP="00673523">
      <w:pPr>
        <w:spacing w:line="276" w:lineRule="auto"/>
        <w:jc w:val="both"/>
        <w:rPr>
          <w:rFonts w:ascii="Times New Roman" w:hAnsi="Times New Roman" w:cs="Times New Roman"/>
          <w:sz w:val="24"/>
          <w:szCs w:val="24"/>
        </w:rPr>
      </w:pPr>
    </w:p>
    <w:sectPr w:rsidR="00673523" w:rsidRPr="006735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BD7" w:rsidRDefault="000C7BD7" w:rsidP="00673523">
      <w:pPr>
        <w:spacing w:after="0" w:line="240" w:lineRule="auto"/>
      </w:pPr>
      <w:r>
        <w:separator/>
      </w:r>
    </w:p>
  </w:endnote>
  <w:endnote w:type="continuationSeparator" w:id="0">
    <w:p w:rsidR="000C7BD7" w:rsidRDefault="000C7BD7" w:rsidP="0067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BD7" w:rsidRDefault="000C7BD7" w:rsidP="00673523">
      <w:pPr>
        <w:spacing w:after="0" w:line="240" w:lineRule="auto"/>
      </w:pPr>
      <w:r>
        <w:separator/>
      </w:r>
    </w:p>
  </w:footnote>
  <w:footnote w:type="continuationSeparator" w:id="0">
    <w:p w:rsidR="000C7BD7" w:rsidRDefault="000C7BD7" w:rsidP="00673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B7966"/>
    <w:multiLevelType w:val="hybridMultilevel"/>
    <w:tmpl w:val="6E38DA88"/>
    <w:lvl w:ilvl="0" w:tplc="46A69C1E">
      <w:numFmt w:val="bullet"/>
      <w:lvlText w:val="•"/>
      <w:lvlJc w:val="left"/>
      <w:pPr>
        <w:ind w:left="720"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A57094"/>
    <w:multiLevelType w:val="hybridMultilevel"/>
    <w:tmpl w:val="A230BBB2"/>
    <w:lvl w:ilvl="0" w:tplc="AB1A91E4">
      <w:numFmt w:val="bullet"/>
      <w:lvlText w:val="•"/>
      <w:lvlJc w:val="left"/>
      <w:pPr>
        <w:ind w:left="786"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9E5E48"/>
    <w:multiLevelType w:val="hybridMultilevel"/>
    <w:tmpl w:val="50C2AA5E"/>
    <w:lvl w:ilvl="0" w:tplc="AB1A91E4">
      <w:numFmt w:val="bullet"/>
      <w:lvlText w:val="•"/>
      <w:lvlJc w:val="left"/>
      <w:pPr>
        <w:ind w:left="786" w:hanging="360"/>
      </w:pPr>
      <w:rPr>
        <w:rFonts w:hint="default"/>
        <w:color w:val="auto"/>
        <w:lang w:val="en-US" w:eastAsia="en-US" w:bidi="ar-SA"/>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 w15:restartNumberingAfterBreak="0">
    <w:nsid w:val="6DCD0E23"/>
    <w:multiLevelType w:val="hybridMultilevel"/>
    <w:tmpl w:val="6BC272C6"/>
    <w:lvl w:ilvl="0" w:tplc="AB1A91E4">
      <w:numFmt w:val="bullet"/>
      <w:lvlText w:val="•"/>
      <w:lvlJc w:val="left"/>
      <w:pPr>
        <w:ind w:left="786"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7D039A"/>
    <w:multiLevelType w:val="hybridMultilevel"/>
    <w:tmpl w:val="6A6E81C2"/>
    <w:lvl w:ilvl="0" w:tplc="46A69C1E">
      <w:numFmt w:val="bullet"/>
      <w:lvlText w:val="•"/>
      <w:lvlJc w:val="left"/>
      <w:pPr>
        <w:ind w:left="720"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23"/>
    <w:rsid w:val="000A0200"/>
    <w:rsid w:val="000C7BD7"/>
    <w:rsid w:val="0019418F"/>
    <w:rsid w:val="001A72D2"/>
    <w:rsid w:val="00231C97"/>
    <w:rsid w:val="003C1734"/>
    <w:rsid w:val="003D3372"/>
    <w:rsid w:val="0045591B"/>
    <w:rsid w:val="00472CF4"/>
    <w:rsid w:val="004732B4"/>
    <w:rsid w:val="004B4DDB"/>
    <w:rsid w:val="00606402"/>
    <w:rsid w:val="0066447D"/>
    <w:rsid w:val="00673523"/>
    <w:rsid w:val="008A3450"/>
    <w:rsid w:val="008E44E6"/>
    <w:rsid w:val="00A57A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AD10DE-2BA9-4EB2-8B8B-E62F20C2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73523"/>
    <w:rPr>
      <w:color w:val="0563C1"/>
      <w:u w:val="single"/>
    </w:rPr>
  </w:style>
  <w:style w:type="paragraph" w:styleId="NormalWeb">
    <w:name w:val="Normal (Web)"/>
    <w:basedOn w:val="Normal"/>
    <w:uiPriority w:val="99"/>
    <w:semiHidden/>
    <w:unhideWhenUsed/>
    <w:rsid w:val="00673523"/>
    <w:pPr>
      <w:spacing w:after="0" w:line="240" w:lineRule="auto"/>
    </w:pPr>
    <w:rPr>
      <w:rFonts w:ascii="Calibri" w:hAnsi="Calibri" w:cs="Calibri"/>
      <w:lang w:eastAsia="tr-TR"/>
    </w:rPr>
  </w:style>
  <w:style w:type="paragraph" w:styleId="ListeParagraf">
    <w:name w:val="List Paragraph"/>
    <w:basedOn w:val="Normal"/>
    <w:uiPriority w:val="34"/>
    <w:qFormat/>
    <w:rsid w:val="00673523"/>
    <w:pPr>
      <w:ind w:left="720"/>
      <w:contextualSpacing/>
    </w:pPr>
  </w:style>
  <w:style w:type="character" w:styleId="zlenenKpr">
    <w:name w:val="FollowedHyperlink"/>
    <w:basedOn w:val="VarsaylanParagrafYazTipi"/>
    <w:uiPriority w:val="99"/>
    <w:semiHidden/>
    <w:unhideWhenUsed/>
    <w:rsid w:val="00472CF4"/>
    <w:rPr>
      <w:color w:val="954F72" w:themeColor="followedHyperlink"/>
      <w:u w:val="single"/>
    </w:rPr>
  </w:style>
  <w:style w:type="paragraph" w:styleId="AralkYok">
    <w:name w:val="No Spacing"/>
    <w:uiPriority w:val="1"/>
    <w:qFormat/>
    <w:rsid w:val="00A57A1E"/>
    <w:pPr>
      <w:spacing w:after="0" w:line="240" w:lineRule="auto"/>
    </w:pPr>
  </w:style>
  <w:style w:type="character" w:styleId="zmlenmeyenBahsetme">
    <w:name w:val="Unresolved Mention"/>
    <w:basedOn w:val="VarsaylanParagrafYazTipi"/>
    <w:uiPriority w:val="99"/>
    <w:semiHidden/>
    <w:unhideWhenUsed/>
    <w:rsid w:val="003C1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ation-customs.ec.europa.eu/customs-4/union-customs-code/ucc-guidance-documents_en" TargetMode="External"/><Relationship Id="rId13" Type="http://schemas.openxmlformats.org/officeDocument/2006/relationships/hyperlink" Target="https://circabc.europa.eu/ui/group/617eb8f3-5946-4fe5-a01f-42974a83b29c/library/6d9c737a-289b-4ce9-953d-cd3602e38dd1?p=1&amp;n=10&amp;sort=modified_DESC" TargetMode="External"/><Relationship Id="rId18" Type="http://schemas.openxmlformats.org/officeDocument/2006/relationships/hyperlink" Target="https://eur-lex.europa.eu/legal-content/EN/TXT/?uri=CELEX:02013R0952-20200101" TargetMode="External"/><Relationship Id="rId3" Type="http://schemas.openxmlformats.org/officeDocument/2006/relationships/settings" Target="settings.xml"/><Relationship Id="rId21" Type="http://schemas.openxmlformats.org/officeDocument/2006/relationships/hyperlink" Target="https://eur-lex.europa.eu/legal-content/EN/TXT/?uri=OJ:L:2021:063:TOC" TargetMode="External"/><Relationship Id="rId7" Type="http://schemas.openxmlformats.org/officeDocument/2006/relationships/hyperlink" Target="https://taxation-customs.ec.europa.eu/customs-4/customs-security/import-control-system-2-ics2-0_en" TargetMode="External"/><Relationship Id="rId12" Type="http://schemas.openxmlformats.org/officeDocument/2006/relationships/hyperlink" Target="https://taxation-customs.ec.europa.eu/customs-4/customs-procedures-import-and-export-0/customs-procedures/economic-operators-registration-and-identification-number-eori_en" TargetMode="External"/><Relationship Id="rId17" Type="http://schemas.openxmlformats.org/officeDocument/2006/relationships/hyperlink" Target="https://taxation-customs.ec.europa.eu/system/files/2017-09/2._eo_manual_uumds_0.2_en_.pdf" TargetMode="External"/><Relationship Id="rId2" Type="http://schemas.openxmlformats.org/officeDocument/2006/relationships/styles" Target="styles.xml"/><Relationship Id="rId16" Type="http://schemas.openxmlformats.org/officeDocument/2006/relationships/hyperlink" Target="https://customs.ec.europa.eu/taxud/uumds/cas/uumds-wayf/wayf?loginRequestId=ECAS_LR-26288-VrqwCzvU59XwgicppXH9llnPNpseKyo51jd3A83yVj6PT7ozXDdnJzStzzzmNJpQ98kLbmJEOMeP12skV0nctFCW-CiDsmZJBYJec6llTxtBbvG-qzPygLbAUqccaY0zP6ds8O1HT1zzuIhhWLToO6zhJddzhndFS82yhdNmmAT98zKqTDaiBLTnbZvOIQLzzHzx6none" TargetMode="External"/><Relationship Id="rId20" Type="http://schemas.openxmlformats.org/officeDocument/2006/relationships/hyperlink" Target="https://eur-lex.europa.eu/legal-content/EN/TXT/?uri=OJ:L:2021:063:T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rcabc.europa.eu/ui/group/ea5f882b-9153-4fc1-9394-54ac8fe9149a/library/bf3816ea-9d77-4023-921d-5fc237631116/details" TargetMode="External"/><Relationship Id="rId5" Type="http://schemas.openxmlformats.org/officeDocument/2006/relationships/footnotes" Target="footnotes.xml"/><Relationship Id="rId15" Type="http://schemas.openxmlformats.org/officeDocument/2006/relationships/hyperlink" Target="https://circabc.europa.eu/ui/group/ea5f882b-9153-4fc1-9394-54ac8fe9149a/library/3a95f619-b6f0-4286-9673-466190f8fb88?p=1&amp;n=10&amp;sort=modified_DESC" TargetMode="External"/><Relationship Id="rId23" Type="http://schemas.openxmlformats.org/officeDocument/2006/relationships/theme" Target="theme/theme1.xml"/><Relationship Id="rId10" Type="http://schemas.openxmlformats.org/officeDocument/2006/relationships/hyperlink" Target="https://circabc.europa.eu/ui/group/ea5f882b-9153-4fc1-9394-54ac8fe9149a/library/4c2742d8-2cbd-4950-a4b1-980257ff3cb3/details" TargetMode="External"/><Relationship Id="rId19" Type="http://schemas.openxmlformats.org/officeDocument/2006/relationships/hyperlink" Target="https://eur-lex.europa.eu/legal-content/en/TXT/?uri=CELEX:32023D2879" TargetMode="External"/><Relationship Id="rId4" Type="http://schemas.openxmlformats.org/officeDocument/2006/relationships/webSettings" Target="webSettings.xml"/><Relationship Id="rId9" Type="http://schemas.openxmlformats.org/officeDocument/2006/relationships/hyperlink" Target="https://taxation-customs.ec.europa.eu/customs-4/union-customs-code/ucc-guidance-documents_en" TargetMode="External"/><Relationship Id="rId14" Type="http://schemas.openxmlformats.org/officeDocument/2006/relationships/hyperlink" Target="https://circabc.europa.eu/ui/group/ea5f882b-9153-4fc1-9394-54ac8fe9149a/library/aa12e450-1f89-45f6-a8aa-d9e259040c2a/details"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877</Words>
  <Characters>4999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Sarı</dc:creator>
  <cp:keywords/>
  <dc:description/>
  <cp:lastModifiedBy>Büşra Sarı</cp:lastModifiedBy>
  <cp:revision>14</cp:revision>
  <dcterms:created xsi:type="dcterms:W3CDTF">2024-04-22T08:24:00Z</dcterms:created>
  <dcterms:modified xsi:type="dcterms:W3CDTF">2024-05-10T13:47:00Z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user=35105225126</vt:lpwstr>
  </property>
  <property fmtid="{D5CDD505-2E9C-101B-9397-08002B2CF9AE}" pid="4" name="geodilabeltime">
    <vt:lpwstr>datetime=2024-04-22T08:27:26.037Z</vt:lpwstr>
  </property>
</Properties>
</file>