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4FA9B" w14:textId="1AB1C724" w:rsidR="002A7BF6" w:rsidRDefault="002A7BF6" w:rsidP="0046003A">
      <w:pPr>
        <w:jc w:val="right"/>
        <w:rPr>
          <w:rFonts w:cstheme="minorHAnsi"/>
          <w:b/>
          <w:bCs/>
          <w:color w:val="000000"/>
          <w:sz w:val="26"/>
          <w:szCs w:val="26"/>
          <w:shd w:val="clear" w:color="auto" w:fill="FFFFFF"/>
        </w:rPr>
      </w:pPr>
      <w:r w:rsidRPr="009562F6">
        <w:rPr>
          <w:rFonts w:ascii="Times New Roman" w:hAnsi="Times New Roman" w:cs="Times New Roman"/>
          <w:b/>
          <w:bCs/>
          <w:noProof/>
          <w:color w:val="000000"/>
          <w:sz w:val="28"/>
          <w:szCs w:val="28"/>
          <w:shd w:val="clear" w:color="auto" w:fill="FFFFFF"/>
          <w:lang w:eastAsia="tr-TR"/>
        </w:rPr>
        <w:drawing>
          <wp:anchor distT="0" distB="0" distL="114300" distR="114300" simplePos="0" relativeHeight="251658240" behindDoc="0" locked="0" layoutInCell="1" allowOverlap="1" wp14:anchorId="68D9F80E" wp14:editId="1C2C3D95">
            <wp:simplePos x="0" y="0"/>
            <wp:positionH relativeFrom="margin">
              <wp:align>center</wp:align>
            </wp:positionH>
            <wp:positionV relativeFrom="paragraph">
              <wp:posOffset>0</wp:posOffset>
            </wp:positionV>
            <wp:extent cx="2872105" cy="1390650"/>
            <wp:effectExtent l="0" t="0" r="4445" b="0"/>
            <wp:wrapSquare wrapText="bothSides"/>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2105" cy="1390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15FE">
        <w:rPr>
          <w:rFonts w:ascii="Times New Roman" w:hAnsi="Times New Roman" w:cs="Times New Roman"/>
          <w:b/>
          <w:bCs/>
          <w:color w:val="000000"/>
          <w:sz w:val="28"/>
          <w:szCs w:val="28"/>
          <w:shd w:val="clear" w:color="auto" w:fill="FFFFFF"/>
        </w:rPr>
        <w:br w:type="textWrapping" w:clear="all"/>
      </w:r>
      <w:r w:rsidR="00217D5C">
        <w:rPr>
          <w:rFonts w:cstheme="minorHAnsi"/>
          <w:b/>
          <w:bCs/>
          <w:color w:val="000000"/>
          <w:sz w:val="26"/>
          <w:szCs w:val="26"/>
          <w:shd w:val="clear" w:color="auto" w:fill="FFFFFF"/>
        </w:rPr>
        <w:t>21</w:t>
      </w:r>
      <w:r w:rsidR="00AA775B">
        <w:rPr>
          <w:rFonts w:cstheme="minorHAnsi"/>
          <w:b/>
          <w:bCs/>
          <w:color w:val="000000"/>
          <w:sz w:val="26"/>
          <w:szCs w:val="26"/>
          <w:shd w:val="clear" w:color="auto" w:fill="FFFFFF"/>
        </w:rPr>
        <w:t>.</w:t>
      </w:r>
      <w:r w:rsidR="005C2A37">
        <w:rPr>
          <w:rFonts w:cstheme="minorHAnsi"/>
          <w:b/>
          <w:bCs/>
          <w:color w:val="000000"/>
          <w:sz w:val="26"/>
          <w:szCs w:val="26"/>
          <w:shd w:val="clear" w:color="auto" w:fill="FFFFFF"/>
        </w:rPr>
        <w:t>12</w:t>
      </w:r>
      <w:r w:rsidR="00072304">
        <w:rPr>
          <w:rFonts w:cstheme="minorHAnsi"/>
          <w:b/>
          <w:bCs/>
          <w:color w:val="000000"/>
          <w:sz w:val="26"/>
          <w:szCs w:val="26"/>
          <w:shd w:val="clear" w:color="auto" w:fill="FFFFFF"/>
        </w:rPr>
        <w:t>.202</w:t>
      </w:r>
      <w:r w:rsidR="002536A4">
        <w:rPr>
          <w:rFonts w:cstheme="minorHAnsi"/>
          <w:b/>
          <w:bCs/>
          <w:color w:val="000000"/>
          <w:sz w:val="26"/>
          <w:szCs w:val="26"/>
          <w:shd w:val="clear" w:color="auto" w:fill="FFFFFF"/>
        </w:rPr>
        <w:t>4</w:t>
      </w:r>
    </w:p>
    <w:p w14:paraId="318689FA" w14:textId="77777777" w:rsidR="004C7C2A" w:rsidRDefault="004C7C2A" w:rsidP="0046003A">
      <w:pPr>
        <w:spacing w:after="0"/>
        <w:jc w:val="center"/>
        <w:rPr>
          <w:rFonts w:cstheme="minorHAnsi"/>
          <w:b/>
          <w:bCs/>
          <w:sz w:val="26"/>
          <w:szCs w:val="26"/>
          <w:shd w:val="clear" w:color="auto" w:fill="FFFFFF"/>
        </w:rPr>
      </w:pPr>
    </w:p>
    <w:p w14:paraId="5CB006BF" w14:textId="77777777" w:rsidR="00A67B47" w:rsidRDefault="00A67B47" w:rsidP="00A67B47">
      <w:pPr>
        <w:spacing w:after="0"/>
        <w:jc w:val="center"/>
        <w:rPr>
          <w:rFonts w:cstheme="minorHAnsi"/>
          <w:b/>
          <w:bCs/>
          <w:sz w:val="28"/>
          <w:szCs w:val="28"/>
          <w:shd w:val="clear" w:color="auto" w:fill="FFFFFF"/>
        </w:rPr>
      </w:pPr>
      <w:r w:rsidRPr="00217D5C">
        <w:rPr>
          <w:rFonts w:cstheme="minorHAnsi"/>
          <w:b/>
          <w:bCs/>
          <w:sz w:val="28"/>
          <w:szCs w:val="28"/>
          <w:shd w:val="clear" w:color="auto" w:fill="FFFFFF"/>
        </w:rPr>
        <w:t xml:space="preserve">SURİYE ARAP CUMHURİYETİ VATANDAŞLARININ </w:t>
      </w:r>
    </w:p>
    <w:p w14:paraId="552F5B13" w14:textId="24E412C0" w:rsidR="00217D5C" w:rsidRPr="00217D5C" w:rsidRDefault="00A67B47" w:rsidP="00A67B47">
      <w:pPr>
        <w:spacing w:after="0"/>
        <w:jc w:val="center"/>
        <w:rPr>
          <w:rFonts w:cstheme="minorHAnsi"/>
          <w:b/>
          <w:bCs/>
          <w:sz w:val="28"/>
          <w:szCs w:val="28"/>
          <w:shd w:val="clear" w:color="auto" w:fill="FFFFFF"/>
        </w:rPr>
      </w:pPr>
      <w:r w:rsidRPr="00217D5C">
        <w:rPr>
          <w:rFonts w:cstheme="minorHAnsi"/>
          <w:b/>
          <w:bCs/>
          <w:sz w:val="28"/>
          <w:szCs w:val="28"/>
          <w:shd w:val="clear" w:color="auto" w:fill="FFFFFF"/>
        </w:rPr>
        <w:t>GERİ DÖNÜŞ İŞLEMLERİ</w:t>
      </w:r>
      <w:r>
        <w:rPr>
          <w:rFonts w:cstheme="minorHAnsi"/>
          <w:b/>
          <w:bCs/>
          <w:sz w:val="28"/>
          <w:szCs w:val="28"/>
          <w:shd w:val="clear" w:color="auto" w:fill="FFFFFF"/>
        </w:rPr>
        <w:t>NE İLİŞKİN GENELGE</w:t>
      </w:r>
    </w:p>
    <w:p w14:paraId="3F913110" w14:textId="77777777" w:rsidR="001B098F" w:rsidRPr="00217D5C" w:rsidRDefault="001B098F" w:rsidP="00217D5C">
      <w:pPr>
        <w:spacing w:after="0"/>
        <w:jc w:val="both"/>
        <w:rPr>
          <w:rFonts w:cstheme="minorHAnsi"/>
          <w:sz w:val="26"/>
          <w:szCs w:val="26"/>
          <w:shd w:val="clear" w:color="auto" w:fill="FFFFFF"/>
        </w:rPr>
      </w:pPr>
    </w:p>
    <w:p w14:paraId="316707FB" w14:textId="77777777" w:rsidR="00217D5C" w:rsidRPr="00217D5C" w:rsidRDefault="00217D5C" w:rsidP="00217D5C">
      <w:pPr>
        <w:spacing w:after="0"/>
        <w:ind w:firstLine="708"/>
        <w:jc w:val="both"/>
        <w:rPr>
          <w:rFonts w:cstheme="minorHAnsi"/>
          <w:sz w:val="26"/>
          <w:szCs w:val="26"/>
          <w:shd w:val="clear" w:color="auto" w:fill="FFFFFF"/>
        </w:rPr>
      </w:pPr>
      <w:r w:rsidRPr="00217D5C">
        <w:rPr>
          <w:rFonts w:cstheme="minorHAnsi"/>
          <w:sz w:val="26"/>
          <w:szCs w:val="26"/>
          <w:shd w:val="clear" w:color="auto" w:fill="FFFFFF"/>
        </w:rPr>
        <w:t>Suriye'deki iç savaş nedeniyle, ülkemize sığınan Suriye vatandaşlarının, geri dönüş işlemlerinde aşağıda belirtilen usul ve esaslara göre işlem yapılması gerekmektedir.</w:t>
      </w:r>
    </w:p>
    <w:p w14:paraId="58A9F403" w14:textId="77777777" w:rsidR="00217D5C" w:rsidRPr="00217D5C" w:rsidRDefault="00217D5C" w:rsidP="00217D5C">
      <w:pPr>
        <w:spacing w:after="0"/>
        <w:ind w:firstLine="708"/>
        <w:jc w:val="both"/>
        <w:rPr>
          <w:rFonts w:cstheme="minorHAnsi"/>
          <w:sz w:val="26"/>
          <w:szCs w:val="26"/>
          <w:shd w:val="clear" w:color="auto" w:fill="FFFFFF"/>
        </w:rPr>
      </w:pPr>
    </w:p>
    <w:p w14:paraId="09D93809" w14:textId="329B82B7" w:rsidR="00217D5C" w:rsidRPr="00217D5C" w:rsidRDefault="00217D5C" w:rsidP="00217D5C">
      <w:pPr>
        <w:spacing w:after="0"/>
        <w:ind w:firstLine="708"/>
        <w:jc w:val="both"/>
        <w:rPr>
          <w:rFonts w:cstheme="minorHAnsi"/>
          <w:sz w:val="26"/>
          <w:szCs w:val="26"/>
          <w:shd w:val="clear" w:color="auto" w:fill="FFFFFF"/>
        </w:rPr>
      </w:pPr>
      <w:r w:rsidRPr="00217D5C">
        <w:rPr>
          <w:rFonts w:cstheme="minorHAnsi"/>
          <w:sz w:val="26"/>
          <w:szCs w:val="26"/>
          <w:shd w:val="clear" w:color="auto" w:fill="FFFFFF"/>
        </w:rPr>
        <w:t>1-</w:t>
      </w:r>
      <w:r w:rsidRPr="00217D5C">
        <w:rPr>
          <w:rFonts w:cstheme="minorHAnsi"/>
          <w:sz w:val="26"/>
          <w:szCs w:val="26"/>
          <w:shd w:val="clear" w:color="auto" w:fill="FFFFFF"/>
        </w:rPr>
        <w:tab/>
        <w:t>Geri dönüş yapacak Suriye vatandaşlarının çıkış işlemlerinin hızlı bir şekilde gerçekleştirebilmesini teminen gümrük işlemleri ilgili diğer kamu kurumlarıyla koordinasyon içerisinde yapılarak gümrük idareleri tarafından gerekli her türlü önlemin alınması gerekmektedir.</w:t>
      </w:r>
    </w:p>
    <w:p w14:paraId="66330D98" w14:textId="78FE6051" w:rsidR="00217D5C" w:rsidRPr="00217D5C" w:rsidRDefault="00217D5C" w:rsidP="00217D5C">
      <w:pPr>
        <w:spacing w:after="0"/>
        <w:ind w:firstLine="708"/>
        <w:jc w:val="both"/>
        <w:rPr>
          <w:rFonts w:cstheme="minorHAnsi"/>
          <w:sz w:val="26"/>
          <w:szCs w:val="26"/>
          <w:shd w:val="clear" w:color="auto" w:fill="FFFFFF"/>
        </w:rPr>
      </w:pPr>
      <w:r w:rsidRPr="00217D5C">
        <w:rPr>
          <w:rFonts w:cstheme="minorHAnsi"/>
          <w:sz w:val="26"/>
          <w:szCs w:val="26"/>
          <w:shd w:val="clear" w:color="auto" w:fill="FFFFFF"/>
        </w:rPr>
        <w:t>2-</w:t>
      </w:r>
      <w:r w:rsidRPr="00217D5C">
        <w:rPr>
          <w:rFonts w:cstheme="minorHAnsi"/>
          <w:sz w:val="26"/>
          <w:szCs w:val="26"/>
          <w:shd w:val="clear" w:color="auto" w:fill="FFFFFF"/>
        </w:rPr>
        <w:tab/>
        <w:t>Suriye vatandaşlarının geri dönüş işlemlerinde yolcu beraberi eşya ile ev eşyası, 4458 sayılı Gümrük Kanunu’nun 59 uncu maddesi ve Gümrük Yönetmeliğinin 172’nci maddesinin beşinci fıkrasının (c) bendi kapsamında değerlendirilir ve sözlü beyan formu aranmaz, bu Genelgenin ekinde yer alan "Kolaylaştırılmış Çıkış Formu" düzenlenmek suretiyle işlem yapılır.</w:t>
      </w:r>
    </w:p>
    <w:p w14:paraId="6307BDF2" w14:textId="77777777" w:rsidR="00217D5C" w:rsidRPr="00217D5C" w:rsidRDefault="00217D5C" w:rsidP="00217D5C">
      <w:pPr>
        <w:spacing w:after="0"/>
        <w:ind w:firstLine="708"/>
        <w:jc w:val="both"/>
        <w:rPr>
          <w:rFonts w:cstheme="minorHAnsi"/>
          <w:sz w:val="26"/>
          <w:szCs w:val="26"/>
          <w:shd w:val="clear" w:color="auto" w:fill="FFFFFF"/>
        </w:rPr>
      </w:pPr>
      <w:r w:rsidRPr="00217D5C">
        <w:rPr>
          <w:rFonts w:cstheme="minorHAnsi"/>
          <w:sz w:val="26"/>
          <w:szCs w:val="26"/>
          <w:shd w:val="clear" w:color="auto" w:fill="FFFFFF"/>
        </w:rPr>
        <w:t>3-</w:t>
      </w:r>
      <w:r w:rsidRPr="00217D5C">
        <w:rPr>
          <w:rFonts w:cstheme="minorHAnsi"/>
          <w:sz w:val="26"/>
          <w:szCs w:val="26"/>
          <w:shd w:val="clear" w:color="auto" w:fill="FFFFFF"/>
        </w:rPr>
        <w:tab/>
        <w:t xml:space="preserve">Suriye'den gelen geçici koruma statüsüne haiz kişilerin ülkelerinden getirdikleri ve noterler tarafından özel harf gruplarında verilen tescil plakalı taşıtlarına ilişkin olarak; taşıtla birlikte kesin çıkış yapılması durumunda, ilgili noterce düzenlenen kaydın kapatıldığına dair belgenin gümrük idaresine ibraz edilmesi ve taşıtın belgelerindeki ayniyetine uygunluğunun tespit edilmesi halinde, Taşıt 1 MA-Takrir Modülündeki "Geçici İthalat Rejimi Sonlandır" bölümüne gerekli kayıt yapılır ve/veya Taşıt 1 programındaki taşıtın kaydı kapatılarak çıkış işlemleri gerçekleştirilir. Taşıt programında söz konusu taşıta ilişkin herhangi bir kayıt olmaması durumunda </w:t>
      </w:r>
      <w:proofErr w:type="gramStart"/>
      <w:r w:rsidRPr="00217D5C">
        <w:rPr>
          <w:rFonts w:cstheme="minorHAnsi"/>
          <w:sz w:val="26"/>
          <w:szCs w:val="26"/>
          <w:shd w:val="clear" w:color="auto" w:fill="FFFFFF"/>
        </w:rPr>
        <w:t>da,</w:t>
      </w:r>
      <w:proofErr w:type="gramEnd"/>
      <w:r w:rsidRPr="00217D5C">
        <w:rPr>
          <w:rFonts w:cstheme="minorHAnsi"/>
          <w:sz w:val="26"/>
          <w:szCs w:val="26"/>
          <w:shd w:val="clear" w:color="auto" w:fill="FFFFFF"/>
        </w:rPr>
        <w:t xml:space="preserve"> ilgili noterce düzenlenen kaydın kapatıldığına dair belgenin gümrük idaresine ibraz edilmesi ve taşıtın belgelerindeki ayniyetine uygunluğunun tespit edilmesi halinde, Taşıt 2 programına kaydedilmek suretiyle çıkış işlemleri gerçekleştirilir. Ayrıca, geçici ithalat rejimi kapsamında 2011 yılından itibaren Suriye'den taşıtları ile birlikte gelen kişilerin, ülkelerine yeniden dönüşlerinde taşıtın belgelerindeki ayniyetine uygunluğunun tespit edilmesi halinde, Taşıt 1 programındaki kayıt kapatılarak çıkış işlemleri gerçekleştirilir.</w:t>
      </w:r>
    </w:p>
    <w:p w14:paraId="2D4710E5" w14:textId="77777777" w:rsidR="00217D5C" w:rsidRDefault="00217D5C" w:rsidP="00217D5C">
      <w:pPr>
        <w:spacing w:after="0"/>
        <w:ind w:firstLine="708"/>
        <w:jc w:val="both"/>
        <w:rPr>
          <w:rFonts w:cstheme="minorHAnsi"/>
          <w:sz w:val="26"/>
          <w:szCs w:val="26"/>
          <w:shd w:val="clear" w:color="auto" w:fill="FFFFFF"/>
        </w:rPr>
      </w:pPr>
    </w:p>
    <w:p w14:paraId="06D957F5" w14:textId="05F69697" w:rsidR="00217D5C" w:rsidRPr="00217D5C" w:rsidRDefault="002775D4" w:rsidP="00217D5C">
      <w:pPr>
        <w:spacing w:after="0"/>
        <w:ind w:firstLine="708"/>
        <w:jc w:val="both"/>
        <w:rPr>
          <w:rFonts w:cstheme="minorHAnsi"/>
          <w:sz w:val="26"/>
          <w:szCs w:val="26"/>
          <w:shd w:val="clear" w:color="auto" w:fill="FFFFFF"/>
        </w:rPr>
      </w:pPr>
      <w:r>
        <w:rPr>
          <w:rFonts w:cstheme="minorHAnsi"/>
          <w:sz w:val="26"/>
          <w:szCs w:val="26"/>
          <w:shd w:val="clear" w:color="auto" w:fill="FFFFFF"/>
        </w:rPr>
        <w:t>4</w:t>
      </w:r>
      <w:r w:rsidR="00217D5C" w:rsidRPr="00217D5C">
        <w:rPr>
          <w:rFonts w:cstheme="minorHAnsi"/>
          <w:sz w:val="26"/>
          <w:szCs w:val="26"/>
          <w:shd w:val="clear" w:color="auto" w:fill="FFFFFF"/>
        </w:rPr>
        <w:t>-</w:t>
      </w:r>
      <w:r w:rsidR="00217D5C" w:rsidRPr="00217D5C">
        <w:rPr>
          <w:rFonts w:cstheme="minorHAnsi"/>
          <w:sz w:val="26"/>
          <w:szCs w:val="26"/>
          <w:shd w:val="clear" w:color="auto" w:fill="FFFFFF"/>
        </w:rPr>
        <w:tab/>
        <w:t>Suriye vatandaşlarının, Türkiye'de edindikleri yerli plakalı araçlarının çıkış işlemleri ile ilgili olarak, 5086 sayılı Yabancılara İkinci El Taşıt Satışı Hakkında Kanun hükümleri çerçevesinde ilgili noterce düzenlenen kaydın kapatıldığına dair belgenin gümrük idaresine ibraz edilmesi koşuluyla Genelge ekinde yer alan "Kolaylaştırılmış Çıkış Formu" düzenlenir. Ayniyet kontrolü yapılmak suretiyle Taşıt 2 programına kaydedilen taşıtın çıkış işlemleri gerçekleştirilir.</w:t>
      </w:r>
    </w:p>
    <w:p w14:paraId="0D2A4FB1" w14:textId="7F1173C7" w:rsidR="00217D5C" w:rsidRPr="00217D5C" w:rsidRDefault="00217D5C" w:rsidP="00217D5C">
      <w:pPr>
        <w:spacing w:after="0"/>
        <w:ind w:firstLine="708"/>
        <w:jc w:val="both"/>
        <w:rPr>
          <w:b/>
          <w:bCs/>
          <w:sz w:val="26"/>
          <w:szCs w:val="26"/>
        </w:rPr>
      </w:pPr>
      <w:r w:rsidRPr="00217D5C">
        <w:rPr>
          <w:sz w:val="26"/>
          <w:szCs w:val="26"/>
        </w:rPr>
        <w:t>5-</w:t>
      </w:r>
      <w:r w:rsidRPr="00217D5C">
        <w:rPr>
          <w:sz w:val="26"/>
          <w:szCs w:val="26"/>
        </w:rPr>
        <w:tab/>
      </w:r>
      <w:r w:rsidRPr="00217D5C">
        <w:rPr>
          <w:b/>
          <w:bCs/>
          <w:sz w:val="26"/>
          <w:szCs w:val="26"/>
        </w:rPr>
        <w:t>Suriye vatandaşlarının Türkiye'de kurdukları iş yerlerinin nakline ilişkin işlemler, Gümrük Yönetmeliğinin 170 inci maddesinin birinci fıkrasının (c) bendi ve 172’nci maddesinin ikinci fıkrasının (a) bendinde yer alan hükümler uyarınca sözlü beyan formu düzenlenmek suretiyle tamamlanır.</w:t>
      </w:r>
    </w:p>
    <w:p w14:paraId="2B3FE31D" w14:textId="77777777" w:rsidR="00217D5C" w:rsidRPr="00217D5C" w:rsidRDefault="00217D5C" w:rsidP="00217D5C">
      <w:pPr>
        <w:spacing w:after="0"/>
        <w:ind w:firstLine="708"/>
        <w:jc w:val="both"/>
        <w:rPr>
          <w:sz w:val="26"/>
          <w:szCs w:val="26"/>
        </w:rPr>
      </w:pPr>
      <w:r w:rsidRPr="00217D5C">
        <w:rPr>
          <w:sz w:val="26"/>
          <w:szCs w:val="26"/>
        </w:rPr>
        <w:t>6-</w:t>
      </w:r>
      <w:r w:rsidRPr="00217D5C">
        <w:rPr>
          <w:sz w:val="26"/>
          <w:szCs w:val="26"/>
        </w:rPr>
        <w:tab/>
        <w:t>Hazine ve Maliye Bakanlığı Finansal Piyasalar ve Kambiyo Genel Müdürlüğünün 17.12.2024 tarihli ve 3625550 sayılı yazısı uyarınca;</w:t>
      </w:r>
    </w:p>
    <w:p w14:paraId="4CF890A6" w14:textId="77777777" w:rsidR="00217D5C" w:rsidRPr="00217D5C" w:rsidRDefault="00217D5C" w:rsidP="00217D5C">
      <w:pPr>
        <w:spacing w:after="0"/>
        <w:ind w:firstLine="708"/>
        <w:jc w:val="both"/>
        <w:rPr>
          <w:sz w:val="26"/>
          <w:szCs w:val="26"/>
        </w:rPr>
      </w:pPr>
      <w:r w:rsidRPr="00217D5C">
        <w:rPr>
          <w:sz w:val="26"/>
          <w:szCs w:val="26"/>
        </w:rPr>
        <w:t>a)</w:t>
      </w:r>
      <w:r w:rsidRPr="00217D5C">
        <w:rPr>
          <w:sz w:val="26"/>
          <w:szCs w:val="26"/>
        </w:rPr>
        <w:tab/>
        <w:t>Suriye vatandaşlarının, Suriye sınır kapılarından beraberlerinde çıkartacakları nakitlerle ilgili olarak, bankalar aracılığı ile gerçekleştirilmesi zorunlu olan nakit transferlerinden 31.12.2025 tarihine kadar muaf tutulması,</w:t>
      </w:r>
    </w:p>
    <w:p w14:paraId="76D20439" w14:textId="77777777" w:rsidR="00217D5C" w:rsidRPr="00217D5C" w:rsidRDefault="00217D5C" w:rsidP="00217D5C">
      <w:pPr>
        <w:spacing w:after="0"/>
        <w:ind w:firstLine="708"/>
        <w:jc w:val="both"/>
        <w:rPr>
          <w:sz w:val="26"/>
          <w:szCs w:val="26"/>
        </w:rPr>
      </w:pPr>
      <w:r w:rsidRPr="00217D5C">
        <w:rPr>
          <w:sz w:val="26"/>
          <w:szCs w:val="26"/>
        </w:rPr>
        <w:t>b)</w:t>
      </w:r>
      <w:r w:rsidRPr="00217D5C">
        <w:rPr>
          <w:sz w:val="26"/>
          <w:szCs w:val="26"/>
        </w:rPr>
        <w:tab/>
        <w:t>Suriye vatandaşlarının beraberlerinde kendilerine ait, değeri 15.000 ABD dolarını aşan ve ticari amaç taşımayan ziynet eşyası niteliğinde kıymetli madenlerden ve taşlardan yapılmış eşyaları Suriye sınır kapılarından yurt dışına çıkarmaları durumunda, ziynet eşyalarının girişte beyan edilmiş olması veya Türkiye'de satın alındığının tevsik edilmesi şartının 31.12.2025 tarihine kadar aranmaması,</w:t>
      </w:r>
    </w:p>
    <w:p w14:paraId="71F8E954" w14:textId="77777777" w:rsidR="00217D5C" w:rsidRPr="00217D5C" w:rsidRDefault="00217D5C" w:rsidP="00217D5C">
      <w:pPr>
        <w:spacing w:after="0"/>
        <w:ind w:firstLine="708"/>
        <w:jc w:val="both"/>
        <w:rPr>
          <w:sz w:val="26"/>
          <w:szCs w:val="26"/>
        </w:rPr>
      </w:pPr>
      <w:r w:rsidRPr="00217D5C">
        <w:rPr>
          <w:sz w:val="26"/>
          <w:szCs w:val="26"/>
        </w:rPr>
        <w:t>c)</w:t>
      </w:r>
      <w:r w:rsidRPr="00217D5C">
        <w:rPr>
          <w:sz w:val="26"/>
          <w:szCs w:val="26"/>
        </w:rPr>
        <w:tab/>
        <w:t>Ayrıca söz konusu kişilerin yolcu beraberi 25.000 TL'yi aşan Türk parası ve Türk parası ile ödemeyi sağlayan belgelerle, 10.000 Avro veya eşitini aşan döviz çıkışlarında nakit beyan formu ile gümrük idarelerine beyanda bulunmaları,</w:t>
      </w:r>
    </w:p>
    <w:p w14:paraId="34139275" w14:textId="77777777" w:rsidR="00217D5C" w:rsidRPr="00217D5C" w:rsidRDefault="00217D5C" w:rsidP="00217D5C">
      <w:pPr>
        <w:spacing w:after="0"/>
        <w:ind w:firstLine="708"/>
        <w:jc w:val="both"/>
        <w:rPr>
          <w:sz w:val="26"/>
          <w:szCs w:val="26"/>
        </w:rPr>
      </w:pPr>
    </w:p>
    <w:p w14:paraId="3388D38A" w14:textId="0574490C" w:rsidR="001B098F" w:rsidRPr="00217D5C" w:rsidRDefault="00217D5C" w:rsidP="00AE1403">
      <w:pPr>
        <w:spacing w:after="0"/>
        <w:ind w:firstLine="708"/>
        <w:jc w:val="both"/>
        <w:rPr>
          <w:rFonts w:cstheme="minorHAnsi"/>
          <w:b/>
          <w:bCs/>
          <w:sz w:val="26"/>
          <w:szCs w:val="26"/>
          <w:shd w:val="clear" w:color="auto" w:fill="FFFFFF"/>
        </w:rPr>
      </w:pPr>
      <w:r w:rsidRPr="00217D5C">
        <w:rPr>
          <w:sz w:val="26"/>
          <w:szCs w:val="26"/>
        </w:rPr>
        <w:t>Uygun bulunmuştur.</w:t>
      </w:r>
    </w:p>
    <w:p w14:paraId="5848707F" w14:textId="77777777" w:rsidR="001B098F" w:rsidRDefault="001B098F" w:rsidP="00AE1403">
      <w:pPr>
        <w:spacing w:after="0"/>
        <w:ind w:firstLine="708"/>
        <w:jc w:val="both"/>
        <w:rPr>
          <w:rFonts w:cstheme="minorHAnsi"/>
          <w:b/>
          <w:bCs/>
          <w:sz w:val="26"/>
          <w:szCs w:val="26"/>
          <w:shd w:val="clear" w:color="auto" w:fill="FFFFFF"/>
        </w:rPr>
      </w:pPr>
    </w:p>
    <w:p w14:paraId="107A2A6E" w14:textId="77777777" w:rsidR="001B098F" w:rsidRDefault="001B098F" w:rsidP="00AE1403">
      <w:pPr>
        <w:spacing w:after="0"/>
        <w:ind w:firstLine="708"/>
        <w:jc w:val="both"/>
        <w:rPr>
          <w:rFonts w:cstheme="minorHAnsi"/>
          <w:b/>
          <w:bCs/>
          <w:sz w:val="26"/>
          <w:szCs w:val="26"/>
          <w:shd w:val="clear" w:color="auto" w:fill="FFFFFF"/>
        </w:rPr>
      </w:pPr>
    </w:p>
    <w:p w14:paraId="41E098E0" w14:textId="77777777" w:rsidR="001B098F" w:rsidRDefault="001B098F" w:rsidP="00AE1403">
      <w:pPr>
        <w:spacing w:after="0"/>
        <w:ind w:firstLine="708"/>
        <w:jc w:val="both"/>
        <w:rPr>
          <w:rFonts w:cstheme="minorHAnsi"/>
          <w:b/>
          <w:bCs/>
          <w:sz w:val="26"/>
          <w:szCs w:val="26"/>
          <w:shd w:val="clear" w:color="auto" w:fill="FFFFFF"/>
        </w:rPr>
      </w:pPr>
    </w:p>
    <w:p w14:paraId="4976AD0F" w14:textId="77777777" w:rsidR="002A7BF6" w:rsidRDefault="002A7BF6"/>
    <w:sectPr w:rsidR="002A7BF6" w:rsidSect="001B098F">
      <w:footerReference w:type="default" r:id="rId9"/>
      <w:pgSz w:w="11906" w:h="16838"/>
      <w:pgMar w:top="709" w:right="1417" w:bottom="0" w:left="1417" w:header="85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1A5786" w14:textId="77777777" w:rsidR="003F59AD" w:rsidRDefault="003F59AD" w:rsidP="00F86FF6">
      <w:pPr>
        <w:spacing w:after="0" w:line="240" w:lineRule="auto"/>
      </w:pPr>
      <w:r>
        <w:separator/>
      </w:r>
    </w:p>
  </w:endnote>
  <w:endnote w:type="continuationSeparator" w:id="0">
    <w:p w14:paraId="655A1938" w14:textId="77777777" w:rsidR="003F59AD" w:rsidRDefault="003F59AD" w:rsidP="00F86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altName w:val="Calibr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27505" w14:textId="77777777" w:rsidR="001B098F" w:rsidRPr="00211DEE" w:rsidRDefault="001B098F" w:rsidP="001B098F">
    <w:pPr>
      <w:numPr>
        <w:ilvl w:val="0"/>
        <w:numId w:val="1"/>
      </w:numPr>
      <w:pBdr>
        <w:top w:val="single" w:sz="4" w:space="1" w:color="auto"/>
      </w:pBdr>
      <w:shd w:val="clear" w:color="auto" w:fill="FFFFFF"/>
      <w:spacing w:after="0" w:line="360" w:lineRule="auto"/>
      <w:jc w:val="both"/>
      <w:rPr>
        <w:rFonts w:eastAsia="Times New Roman" w:cstheme="minorHAnsi"/>
        <w:sz w:val="20"/>
        <w:szCs w:val="20"/>
        <w:lang w:eastAsia="tr-TR"/>
      </w:rPr>
    </w:pPr>
    <w:r w:rsidRPr="00211DEE">
      <w:rPr>
        <w:rFonts w:eastAsia="Times New Roman" w:cstheme="minorHAnsi"/>
        <w:bCs/>
        <w:sz w:val="20"/>
        <w:szCs w:val="20"/>
        <w:lang w:eastAsia="tr-TR"/>
      </w:rPr>
      <w:t xml:space="preserve">Adres: Ticaret Bakanlığı, </w:t>
    </w:r>
    <w:r w:rsidRPr="00211DEE">
      <w:rPr>
        <w:rFonts w:eastAsia="Times New Roman" w:cstheme="minorHAnsi"/>
        <w:sz w:val="20"/>
        <w:szCs w:val="20"/>
        <w:lang w:eastAsia="tr-TR"/>
      </w:rPr>
      <w:t xml:space="preserve">Söğütözü Mah. 2176. Sk. No:63 06530 Çankaya/ANKARA                                       </w:t>
    </w:r>
  </w:p>
  <w:p w14:paraId="11A03376" w14:textId="51D34662" w:rsidR="001B098F" w:rsidRPr="008922F6" w:rsidRDefault="001B098F" w:rsidP="001B098F">
    <w:pPr>
      <w:numPr>
        <w:ilvl w:val="0"/>
        <w:numId w:val="1"/>
      </w:numPr>
      <w:pBdr>
        <w:top w:val="single" w:sz="4" w:space="1" w:color="auto"/>
      </w:pBdr>
      <w:shd w:val="clear" w:color="auto" w:fill="FFFFFF"/>
      <w:spacing w:after="0" w:line="240" w:lineRule="auto"/>
      <w:jc w:val="both"/>
      <w:rPr>
        <w:rFonts w:cstheme="minorHAnsi"/>
        <w:bCs/>
        <w:sz w:val="20"/>
        <w:szCs w:val="20"/>
      </w:rPr>
    </w:pPr>
    <w:r w:rsidRPr="00211DEE">
      <w:rPr>
        <w:rFonts w:eastAsia="Times New Roman" w:cstheme="minorHAnsi"/>
        <w:sz w:val="20"/>
        <w:szCs w:val="20"/>
        <w:lang w:eastAsia="tr-TR"/>
      </w:rPr>
      <w:t>0</w:t>
    </w:r>
    <w:r>
      <w:rPr>
        <w:rFonts w:eastAsia="Times New Roman" w:cstheme="minorHAnsi"/>
        <w:sz w:val="20"/>
        <w:szCs w:val="20"/>
        <w:lang w:eastAsia="tr-TR"/>
      </w:rPr>
      <w:t xml:space="preserve"> </w:t>
    </w:r>
    <w:r w:rsidRPr="00211DEE">
      <w:rPr>
        <w:rFonts w:eastAsia="Times New Roman" w:cstheme="minorHAnsi"/>
        <w:sz w:val="20"/>
        <w:szCs w:val="20"/>
        <w:lang w:eastAsia="tr-TR"/>
      </w:rPr>
      <w:t>(312) 204 78 00</w:t>
    </w:r>
  </w:p>
  <w:p w14:paraId="7CC275AA" w14:textId="77777777" w:rsidR="001B098F" w:rsidRDefault="001B098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52E27F" w14:textId="77777777" w:rsidR="003F59AD" w:rsidRDefault="003F59AD" w:rsidP="00F86FF6">
      <w:pPr>
        <w:spacing w:after="0" w:line="240" w:lineRule="auto"/>
      </w:pPr>
      <w:r>
        <w:separator/>
      </w:r>
    </w:p>
  </w:footnote>
  <w:footnote w:type="continuationSeparator" w:id="0">
    <w:p w14:paraId="38837A6E" w14:textId="77777777" w:rsidR="003F59AD" w:rsidRDefault="003F59AD" w:rsidP="00F86F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BE3CBF"/>
    <w:multiLevelType w:val="multilevel"/>
    <w:tmpl w:val="713099D6"/>
    <w:lvl w:ilvl="0">
      <w:start w:val="1"/>
      <w:numFmt w:val="bullet"/>
      <w:lvlText w:val=""/>
      <w:lvlJc w:val="left"/>
      <w:pPr>
        <w:tabs>
          <w:tab w:val="num" w:pos="1069"/>
        </w:tabs>
        <w:ind w:left="1069" w:hanging="360"/>
      </w:pPr>
      <w:rPr>
        <w:rFonts w:ascii="Wingdings" w:hAnsi="Wingdings" w:hint="default"/>
        <w:sz w:val="20"/>
      </w:rPr>
    </w:lvl>
    <w:lvl w:ilvl="1">
      <w:start w:val="1"/>
      <w:numFmt w:val="bullet"/>
      <w:lvlText w:val=""/>
      <w:lvlJc w:val="left"/>
      <w:pPr>
        <w:tabs>
          <w:tab w:val="num" w:pos="1789"/>
        </w:tabs>
        <w:ind w:left="1789" w:hanging="360"/>
      </w:pPr>
      <w:rPr>
        <w:rFonts w:ascii="Wingdings" w:hAnsi="Wingdings" w:hint="default"/>
        <w:sz w:val="20"/>
      </w:rPr>
    </w:lvl>
    <w:lvl w:ilvl="2">
      <w:start w:val="1"/>
      <w:numFmt w:val="bullet"/>
      <w:lvlText w:val=""/>
      <w:lvlJc w:val="left"/>
      <w:pPr>
        <w:tabs>
          <w:tab w:val="num" w:pos="2509"/>
        </w:tabs>
        <w:ind w:left="2509" w:hanging="360"/>
      </w:pPr>
      <w:rPr>
        <w:rFonts w:ascii="Wingdings" w:hAnsi="Wingdings" w:hint="default"/>
        <w:sz w:val="20"/>
      </w:rPr>
    </w:lvl>
    <w:lvl w:ilvl="3">
      <w:start w:val="1"/>
      <w:numFmt w:val="bullet"/>
      <w:lvlText w:val=""/>
      <w:lvlJc w:val="left"/>
      <w:pPr>
        <w:tabs>
          <w:tab w:val="num" w:pos="3229"/>
        </w:tabs>
        <w:ind w:left="3229" w:hanging="360"/>
      </w:pPr>
      <w:rPr>
        <w:rFonts w:ascii="Wingdings" w:hAnsi="Wingdings" w:hint="default"/>
        <w:sz w:val="20"/>
      </w:rPr>
    </w:lvl>
    <w:lvl w:ilvl="4">
      <w:start w:val="1"/>
      <w:numFmt w:val="bullet"/>
      <w:lvlText w:val=""/>
      <w:lvlJc w:val="left"/>
      <w:pPr>
        <w:tabs>
          <w:tab w:val="num" w:pos="3949"/>
        </w:tabs>
        <w:ind w:left="3949" w:hanging="360"/>
      </w:pPr>
      <w:rPr>
        <w:rFonts w:ascii="Wingdings" w:hAnsi="Wingdings" w:hint="default"/>
        <w:sz w:val="20"/>
      </w:rPr>
    </w:lvl>
    <w:lvl w:ilvl="5">
      <w:start w:val="1"/>
      <w:numFmt w:val="bullet"/>
      <w:lvlText w:val=""/>
      <w:lvlJc w:val="left"/>
      <w:pPr>
        <w:tabs>
          <w:tab w:val="num" w:pos="4669"/>
        </w:tabs>
        <w:ind w:left="4669" w:hanging="360"/>
      </w:pPr>
      <w:rPr>
        <w:rFonts w:ascii="Wingdings" w:hAnsi="Wingdings" w:hint="default"/>
        <w:sz w:val="20"/>
      </w:rPr>
    </w:lvl>
    <w:lvl w:ilvl="6">
      <w:start w:val="1"/>
      <w:numFmt w:val="bullet"/>
      <w:lvlText w:val=""/>
      <w:lvlJc w:val="left"/>
      <w:pPr>
        <w:tabs>
          <w:tab w:val="num" w:pos="5389"/>
        </w:tabs>
        <w:ind w:left="5389" w:hanging="360"/>
      </w:pPr>
      <w:rPr>
        <w:rFonts w:ascii="Wingdings" w:hAnsi="Wingdings" w:hint="default"/>
        <w:sz w:val="20"/>
      </w:rPr>
    </w:lvl>
    <w:lvl w:ilvl="7">
      <w:start w:val="1"/>
      <w:numFmt w:val="bullet"/>
      <w:lvlText w:val=""/>
      <w:lvlJc w:val="left"/>
      <w:pPr>
        <w:tabs>
          <w:tab w:val="num" w:pos="6109"/>
        </w:tabs>
        <w:ind w:left="6109" w:hanging="360"/>
      </w:pPr>
      <w:rPr>
        <w:rFonts w:ascii="Wingdings" w:hAnsi="Wingdings" w:hint="default"/>
        <w:sz w:val="20"/>
      </w:rPr>
    </w:lvl>
    <w:lvl w:ilvl="8">
      <w:start w:val="1"/>
      <w:numFmt w:val="bullet"/>
      <w:lvlText w:val=""/>
      <w:lvlJc w:val="left"/>
      <w:pPr>
        <w:tabs>
          <w:tab w:val="num" w:pos="6829"/>
        </w:tabs>
        <w:ind w:left="6829" w:hanging="360"/>
      </w:pPr>
      <w:rPr>
        <w:rFonts w:ascii="Wingdings" w:hAnsi="Wingdings" w:hint="default"/>
        <w:sz w:val="20"/>
      </w:rPr>
    </w:lvl>
  </w:abstractNum>
  <w:num w:numId="1" w16cid:durableId="372972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BF6"/>
    <w:rsid w:val="0000264A"/>
    <w:rsid w:val="0000290A"/>
    <w:rsid w:val="00011997"/>
    <w:rsid w:val="00017464"/>
    <w:rsid w:val="0004170B"/>
    <w:rsid w:val="00046A4E"/>
    <w:rsid w:val="00051A46"/>
    <w:rsid w:val="00066B7A"/>
    <w:rsid w:val="00072304"/>
    <w:rsid w:val="00075195"/>
    <w:rsid w:val="000930C8"/>
    <w:rsid w:val="00094192"/>
    <w:rsid w:val="000B394F"/>
    <w:rsid w:val="000C551C"/>
    <w:rsid w:val="000E12E8"/>
    <w:rsid w:val="000E2AE9"/>
    <w:rsid w:val="000E6DA4"/>
    <w:rsid w:val="000F04D1"/>
    <w:rsid w:val="000F2683"/>
    <w:rsid w:val="001152E3"/>
    <w:rsid w:val="001505E9"/>
    <w:rsid w:val="00160114"/>
    <w:rsid w:val="001606E0"/>
    <w:rsid w:val="00171824"/>
    <w:rsid w:val="001808ED"/>
    <w:rsid w:val="00180F61"/>
    <w:rsid w:val="001837B9"/>
    <w:rsid w:val="00186E99"/>
    <w:rsid w:val="001A21FA"/>
    <w:rsid w:val="001B098F"/>
    <w:rsid w:val="001B4B0E"/>
    <w:rsid w:val="001C04E0"/>
    <w:rsid w:val="001D50D2"/>
    <w:rsid w:val="001D59B2"/>
    <w:rsid w:val="0020423B"/>
    <w:rsid w:val="002151A5"/>
    <w:rsid w:val="00217D5C"/>
    <w:rsid w:val="0022709D"/>
    <w:rsid w:val="00244C2D"/>
    <w:rsid w:val="002536A4"/>
    <w:rsid w:val="00256A13"/>
    <w:rsid w:val="00265662"/>
    <w:rsid w:val="002775D4"/>
    <w:rsid w:val="00281FB1"/>
    <w:rsid w:val="002A029B"/>
    <w:rsid w:val="002A6F7D"/>
    <w:rsid w:val="002A7BF6"/>
    <w:rsid w:val="002B1463"/>
    <w:rsid w:val="002D0E20"/>
    <w:rsid w:val="002E3A6D"/>
    <w:rsid w:val="002E5CB7"/>
    <w:rsid w:val="002E67A4"/>
    <w:rsid w:val="002F6CFD"/>
    <w:rsid w:val="00306C74"/>
    <w:rsid w:val="0034099C"/>
    <w:rsid w:val="003C69DD"/>
    <w:rsid w:val="003D61A7"/>
    <w:rsid w:val="003E7305"/>
    <w:rsid w:val="003F59AD"/>
    <w:rsid w:val="003F62F4"/>
    <w:rsid w:val="004401D0"/>
    <w:rsid w:val="0046003A"/>
    <w:rsid w:val="00471F69"/>
    <w:rsid w:val="00472A14"/>
    <w:rsid w:val="0048120D"/>
    <w:rsid w:val="00484ED1"/>
    <w:rsid w:val="004A1529"/>
    <w:rsid w:val="004C7C2A"/>
    <w:rsid w:val="004D2918"/>
    <w:rsid w:val="005019C5"/>
    <w:rsid w:val="00504F08"/>
    <w:rsid w:val="00512A08"/>
    <w:rsid w:val="00516709"/>
    <w:rsid w:val="00525CC5"/>
    <w:rsid w:val="00540D4A"/>
    <w:rsid w:val="00570751"/>
    <w:rsid w:val="00576C3D"/>
    <w:rsid w:val="005A5B9B"/>
    <w:rsid w:val="005B133A"/>
    <w:rsid w:val="005C1C1C"/>
    <w:rsid w:val="005C2A37"/>
    <w:rsid w:val="005E0613"/>
    <w:rsid w:val="005E7393"/>
    <w:rsid w:val="00606C0E"/>
    <w:rsid w:val="00610F7D"/>
    <w:rsid w:val="00635975"/>
    <w:rsid w:val="00656390"/>
    <w:rsid w:val="00663806"/>
    <w:rsid w:val="006663B7"/>
    <w:rsid w:val="00694112"/>
    <w:rsid w:val="006B1C91"/>
    <w:rsid w:val="006C7943"/>
    <w:rsid w:val="006D5C79"/>
    <w:rsid w:val="006E0014"/>
    <w:rsid w:val="006E1A34"/>
    <w:rsid w:val="006F137E"/>
    <w:rsid w:val="007015FE"/>
    <w:rsid w:val="00745544"/>
    <w:rsid w:val="00761DD9"/>
    <w:rsid w:val="00765691"/>
    <w:rsid w:val="00780204"/>
    <w:rsid w:val="007842EB"/>
    <w:rsid w:val="00785409"/>
    <w:rsid w:val="007A6FEA"/>
    <w:rsid w:val="007B005C"/>
    <w:rsid w:val="007C34BE"/>
    <w:rsid w:val="007D0074"/>
    <w:rsid w:val="007D15DD"/>
    <w:rsid w:val="007E50A8"/>
    <w:rsid w:val="007E5799"/>
    <w:rsid w:val="0081637C"/>
    <w:rsid w:val="00836F31"/>
    <w:rsid w:val="008678D1"/>
    <w:rsid w:val="00870BED"/>
    <w:rsid w:val="00880F1F"/>
    <w:rsid w:val="008948C8"/>
    <w:rsid w:val="008D1FAE"/>
    <w:rsid w:val="008D2267"/>
    <w:rsid w:val="008D7043"/>
    <w:rsid w:val="008E1BCC"/>
    <w:rsid w:val="00910615"/>
    <w:rsid w:val="00916B0F"/>
    <w:rsid w:val="0093150D"/>
    <w:rsid w:val="009347E2"/>
    <w:rsid w:val="00936CF0"/>
    <w:rsid w:val="00960EC8"/>
    <w:rsid w:val="009868C6"/>
    <w:rsid w:val="0099672E"/>
    <w:rsid w:val="009B35F5"/>
    <w:rsid w:val="009C0B7E"/>
    <w:rsid w:val="009C69EB"/>
    <w:rsid w:val="009D1E67"/>
    <w:rsid w:val="009E10D6"/>
    <w:rsid w:val="00A054D5"/>
    <w:rsid w:val="00A2574E"/>
    <w:rsid w:val="00A30C77"/>
    <w:rsid w:val="00A438A1"/>
    <w:rsid w:val="00A445D9"/>
    <w:rsid w:val="00A56E86"/>
    <w:rsid w:val="00A6247F"/>
    <w:rsid w:val="00A67B47"/>
    <w:rsid w:val="00A7143A"/>
    <w:rsid w:val="00A75CA7"/>
    <w:rsid w:val="00A80504"/>
    <w:rsid w:val="00A808FD"/>
    <w:rsid w:val="00AA2D76"/>
    <w:rsid w:val="00AA775B"/>
    <w:rsid w:val="00AB2E5F"/>
    <w:rsid w:val="00AE1403"/>
    <w:rsid w:val="00AE2F85"/>
    <w:rsid w:val="00B103AB"/>
    <w:rsid w:val="00B1273A"/>
    <w:rsid w:val="00B13C92"/>
    <w:rsid w:val="00B16D08"/>
    <w:rsid w:val="00B57BE0"/>
    <w:rsid w:val="00B609A4"/>
    <w:rsid w:val="00B61BF0"/>
    <w:rsid w:val="00B81599"/>
    <w:rsid w:val="00B94744"/>
    <w:rsid w:val="00BD299B"/>
    <w:rsid w:val="00BD5421"/>
    <w:rsid w:val="00BF5A4C"/>
    <w:rsid w:val="00BF6206"/>
    <w:rsid w:val="00C027F1"/>
    <w:rsid w:val="00C2053F"/>
    <w:rsid w:val="00C2373A"/>
    <w:rsid w:val="00C35620"/>
    <w:rsid w:val="00C505AB"/>
    <w:rsid w:val="00C515C3"/>
    <w:rsid w:val="00C64DF3"/>
    <w:rsid w:val="00C859B9"/>
    <w:rsid w:val="00CA1191"/>
    <w:rsid w:val="00CA29D0"/>
    <w:rsid w:val="00CC1643"/>
    <w:rsid w:val="00D1656C"/>
    <w:rsid w:val="00D23C9E"/>
    <w:rsid w:val="00D25137"/>
    <w:rsid w:val="00D53F67"/>
    <w:rsid w:val="00D5706A"/>
    <w:rsid w:val="00D66921"/>
    <w:rsid w:val="00D71315"/>
    <w:rsid w:val="00D96D88"/>
    <w:rsid w:val="00DA2A2F"/>
    <w:rsid w:val="00DC0F7C"/>
    <w:rsid w:val="00DE6A90"/>
    <w:rsid w:val="00E0041D"/>
    <w:rsid w:val="00E270C4"/>
    <w:rsid w:val="00E35D41"/>
    <w:rsid w:val="00E8003D"/>
    <w:rsid w:val="00E87263"/>
    <w:rsid w:val="00E91ADD"/>
    <w:rsid w:val="00E943A0"/>
    <w:rsid w:val="00E97A1D"/>
    <w:rsid w:val="00EC0EA3"/>
    <w:rsid w:val="00EC0FEB"/>
    <w:rsid w:val="00EC1A54"/>
    <w:rsid w:val="00EC60A4"/>
    <w:rsid w:val="00ED0D9A"/>
    <w:rsid w:val="00ED6976"/>
    <w:rsid w:val="00EE34E8"/>
    <w:rsid w:val="00EE41EF"/>
    <w:rsid w:val="00F007AE"/>
    <w:rsid w:val="00F25541"/>
    <w:rsid w:val="00F30D04"/>
    <w:rsid w:val="00F40671"/>
    <w:rsid w:val="00F5414A"/>
    <w:rsid w:val="00F74077"/>
    <w:rsid w:val="00F82495"/>
    <w:rsid w:val="00F86FF6"/>
    <w:rsid w:val="00FA08C7"/>
    <w:rsid w:val="00FB526C"/>
    <w:rsid w:val="00FD00B3"/>
    <w:rsid w:val="00FF65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9BDE9"/>
  <w15:chartTrackingRefBased/>
  <w15:docId w15:val="{9CAF05C4-ADE4-4850-880A-F45BF03B3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BF6"/>
    <w:pPr>
      <w:spacing w:line="300" w:lineRule="auto"/>
    </w:pPr>
    <w:rPr>
      <w:rFonts w:eastAsiaTheme="minorEastAsia"/>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8540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85409"/>
    <w:rPr>
      <w:rFonts w:ascii="Segoe UI" w:eastAsiaTheme="minorEastAsia" w:hAnsi="Segoe UI" w:cs="Segoe UI"/>
      <w:sz w:val="18"/>
      <w:szCs w:val="18"/>
    </w:rPr>
  </w:style>
  <w:style w:type="character" w:styleId="Kpr">
    <w:name w:val="Hyperlink"/>
    <w:basedOn w:val="VarsaylanParagrafYazTipi"/>
    <w:uiPriority w:val="99"/>
    <w:unhideWhenUsed/>
    <w:rsid w:val="005A5B9B"/>
    <w:rPr>
      <w:color w:val="0000FF"/>
      <w:u w:val="single"/>
    </w:rPr>
  </w:style>
  <w:style w:type="character" w:customStyle="1" w:styleId="xdownloadlinklink">
    <w:name w:val="x_downloadlinklink"/>
    <w:basedOn w:val="VarsaylanParagrafYazTipi"/>
    <w:rsid w:val="00A2574E"/>
  </w:style>
  <w:style w:type="paragraph" w:styleId="stBilgi">
    <w:name w:val="header"/>
    <w:basedOn w:val="Normal"/>
    <w:link w:val="stBilgiChar"/>
    <w:uiPriority w:val="99"/>
    <w:unhideWhenUsed/>
    <w:rsid w:val="00F86FF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86FF6"/>
    <w:rPr>
      <w:rFonts w:eastAsiaTheme="minorEastAsia"/>
      <w:sz w:val="21"/>
      <w:szCs w:val="21"/>
    </w:rPr>
  </w:style>
  <w:style w:type="paragraph" w:styleId="AltBilgi">
    <w:name w:val="footer"/>
    <w:basedOn w:val="Normal"/>
    <w:link w:val="AltBilgiChar"/>
    <w:uiPriority w:val="99"/>
    <w:unhideWhenUsed/>
    <w:rsid w:val="00F86FF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86FF6"/>
    <w:rPr>
      <w:rFonts w:eastAsiaTheme="minorEastAsia"/>
      <w:sz w:val="21"/>
      <w:szCs w:val="21"/>
    </w:rPr>
  </w:style>
  <w:style w:type="character" w:customStyle="1" w:styleId="downloadlinklink">
    <w:name w:val="download_link_link"/>
    <w:basedOn w:val="VarsaylanParagrafYazTipi"/>
    <w:rsid w:val="005C1C1C"/>
  </w:style>
  <w:style w:type="table" w:styleId="TabloKlavuzu">
    <w:name w:val="Table Grid"/>
    <w:basedOn w:val="NormalTablo"/>
    <w:uiPriority w:val="39"/>
    <w:rsid w:val="00D53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284687">
      <w:bodyDiv w:val="1"/>
      <w:marLeft w:val="0"/>
      <w:marRight w:val="0"/>
      <w:marTop w:val="0"/>
      <w:marBottom w:val="0"/>
      <w:divBdr>
        <w:top w:val="none" w:sz="0" w:space="0" w:color="auto"/>
        <w:left w:val="none" w:sz="0" w:space="0" w:color="auto"/>
        <w:bottom w:val="none" w:sz="0" w:space="0" w:color="auto"/>
        <w:right w:val="none" w:sz="0" w:space="0" w:color="auto"/>
      </w:divBdr>
    </w:div>
    <w:div w:id="942495180">
      <w:bodyDiv w:val="1"/>
      <w:marLeft w:val="0"/>
      <w:marRight w:val="0"/>
      <w:marTop w:val="0"/>
      <w:marBottom w:val="0"/>
      <w:divBdr>
        <w:top w:val="none" w:sz="0" w:space="0" w:color="auto"/>
        <w:left w:val="none" w:sz="0" w:space="0" w:color="auto"/>
        <w:bottom w:val="none" w:sz="0" w:space="0" w:color="auto"/>
        <w:right w:val="none" w:sz="0" w:space="0" w:color="auto"/>
      </w:divBdr>
    </w:div>
    <w:div w:id="1145898524">
      <w:bodyDiv w:val="1"/>
      <w:marLeft w:val="0"/>
      <w:marRight w:val="0"/>
      <w:marTop w:val="0"/>
      <w:marBottom w:val="0"/>
      <w:divBdr>
        <w:top w:val="none" w:sz="0" w:space="0" w:color="auto"/>
        <w:left w:val="none" w:sz="0" w:space="0" w:color="auto"/>
        <w:bottom w:val="none" w:sz="0" w:space="0" w:color="auto"/>
        <w:right w:val="none" w:sz="0" w:space="0" w:color="auto"/>
      </w:divBdr>
    </w:div>
    <w:div w:id="1410033337">
      <w:bodyDiv w:val="1"/>
      <w:marLeft w:val="0"/>
      <w:marRight w:val="0"/>
      <w:marTop w:val="0"/>
      <w:marBottom w:val="0"/>
      <w:divBdr>
        <w:top w:val="none" w:sz="0" w:space="0" w:color="auto"/>
        <w:left w:val="none" w:sz="0" w:space="0" w:color="auto"/>
        <w:bottom w:val="none" w:sz="0" w:space="0" w:color="auto"/>
        <w:right w:val="none" w:sz="0" w:space="0" w:color="auto"/>
      </w:divBdr>
    </w:div>
    <w:div w:id="1422021635">
      <w:bodyDiv w:val="1"/>
      <w:marLeft w:val="0"/>
      <w:marRight w:val="0"/>
      <w:marTop w:val="0"/>
      <w:marBottom w:val="0"/>
      <w:divBdr>
        <w:top w:val="none" w:sz="0" w:space="0" w:color="auto"/>
        <w:left w:val="none" w:sz="0" w:space="0" w:color="auto"/>
        <w:bottom w:val="none" w:sz="0" w:space="0" w:color="auto"/>
        <w:right w:val="none" w:sz="0" w:space="0" w:color="auto"/>
      </w:divBdr>
    </w:div>
    <w:div w:id="1537231226">
      <w:bodyDiv w:val="1"/>
      <w:marLeft w:val="0"/>
      <w:marRight w:val="0"/>
      <w:marTop w:val="0"/>
      <w:marBottom w:val="0"/>
      <w:divBdr>
        <w:top w:val="none" w:sz="0" w:space="0" w:color="auto"/>
        <w:left w:val="none" w:sz="0" w:space="0" w:color="auto"/>
        <w:bottom w:val="none" w:sz="0" w:space="0" w:color="auto"/>
        <w:right w:val="none" w:sz="0" w:space="0" w:color="auto"/>
      </w:divBdr>
    </w:div>
    <w:div w:id="1760246396">
      <w:bodyDiv w:val="1"/>
      <w:marLeft w:val="0"/>
      <w:marRight w:val="0"/>
      <w:marTop w:val="0"/>
      <w:marBottom w:val="0"/>
      <w:divBdr>
        <w:top w:val="none" w:sz="0" w:space="0" w:color="auto"/>
        <w:left w:val="none" w:sz="0" w:space="0" w:color="auto"/>
        <w:bottom w:val="none" w:sz="0" w:space="0" w:color="auto"/>
        <w:right w:val="none" w:sz="0" w:space="0" w:color="auto"/>
      </w:divBdr>
    </w:div>
    <w:div w:id="213949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6D00D-2D42-A642-8410-EA9C9A949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580</Words>
  <Characters>3309</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Emirhan Nenk</dc:creator>
  <cp:keywords/>
  <dc:description/>
  <cp:lastModifiedBy>Yusuf Develioğlu</cp:lastModifiedBy>
  <cp:revision>6</cp:revision>
  <cp:lastPrinted>2021-07-27T11:47:00Z</cp:lastPrinted>
  <dcterms:created xsi:type="dcterms:W3CDTF">2024-12-20T15:51:00Z</dcterms:created>
  <dcterms:modified xsi:type="dcterms:W3CDTF">2024-12-20T16:12:00Z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user=50278773526</vt:lpwstr>
  </property>
  <property fmtid="{D5CDD505-2E9C-101B-9397-08002B2CF9AE}" pid="4" name="geodilabeltime">
    <vt:lpwstr>datetime=2024-11-14T14:04:15.334Z</vt:lpwstr>
  </property>
</Properties>
</file>